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912"/>
      </w:tblGrid>
      <w:tr w:rsidR="00B50DE3" w:rsidTr="00B50DE3">
        <w:tc>
          <w:tcPr>
            <w:tcW w:w="2518" w:type="dxa"/>
          </w:tcPr>
          <w:p w:rsidR="00B50DE3" w:rsidRDefault="00B50DE3" w:rsidP="003A794E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E3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172570" cy="773942"/>
                  <wp:effectExtent l="76200" t="38100" r="65680" b="26158"/>
                  <wp:docPr id="1" name="Рисунок 1" descr="C:\Documents and Settings\user1\Рабочий стол\Кадровая комиссия\Центр трудовых ресурсов\Проект Дело будущего\Структура системы\Рисунок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Documents and Settings\user1\Рабочий стол\Кадровая комиссия\Центр трудовых ресурсов\Проект Дело будущего\Структура системы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147" cy="775643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B50DE3" w:rsidRDefault="00B50DE3" w:rsidP="003A794E">
            <w:pPr>
              <w:pStyle w:val="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DE3">
              <w:rPr>
                <w:rFonts w:ascii="Times New Roman" w:hAnsi="Times New Roman" w:cs="Times New Roman"/>
                <w:szCs w:val="28"/>
              </w:rPr>
              <w:t xml:space="preserve">Подготовлено в рамках проекта </w:t>
            </w:r>
          </w:p>
          <w:p w:rsidR="00B50DE3" w:rsidRDefault="00B50DE3" w:rsidP="003A794E">
            <w:pPr>
              <w:pStyle w:val="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DE3">
              <w:rPr>
                <w:rFonts w:ascii="Times New Roman" w:hAnsi="Times New Roman" w:cs="Times New Roman"/>
                <w:szCs w:val="28"/>
              </w:rPr>
              <w:t>«Система кадрового обеспечения перспективной экономики»</w:t>
            </w:r>
          </w:p>
          <w:p w:rsidR="00B50DE3" w:rsidRPr="00B50DE3" w:rsidRDefault="00B50DE3" w:rsidP="003A794E">
            <w:pPr>
              <w:pStyle w:val="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DE3">
              <w:rPr>
                <w:rFonts w:ascii="Times New Roman" w:hAnsi="Times New Roman" w:cs="Times New Roman"/>
                <w:szCs w:val="28"/>
              </w:rPr>
              <w:t>Тольятти</w:t>
            </w:r>
          </w:p>
          <w:p w:rsidR="00B50DE3" w:rsidRPr="00B50DE3" w:rsidRDefault="00B50DE3" w:rsidP="003A794E">
            <w:pPr>
              <w:pStyle w:val="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DE3">
              <w:rPr>
                <w:rFonts w:ascii="Times New Roman" w:hAnsi="Times New Roman" w:cs="Times New Roman"/>
                <w:szCs w:val="28"/>
              </w:rPr>
              <w:t xml:space="preserve">По вопросам, в том числе </w:t>
            </w:r>
            <w:r>
              <w:rPr>
                <w:rFonts w:ascii="Times New Roman" w:hAnsi="Times New Roman" w:cs="Times New Roman"/>
                <w:szCs w:val="28"/>
              </w:rPr>
              <w:t xml:space="preserve">по </w:t>
            </w:r>
            <w:r w:rsidRPr="00B50DE3">
              <w:rPr>
                <w:rFonts w:ascii="Times New Roman" w:hAnsi="Times New Roman" w:cs="Times New Roman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 w:rsidRPr="00B50DE3">
              <w:rPr>
                <w:rFonts w:ascii="Times New Roman" w:hAnsi="Times New Roman" w:cs="Times New Roman"/>
                <w:szCs w:val="28"/>
              </w:rPr>
              <w:t xml:space="preserve"> проведения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B50DE3">
              <w:rPr>
                <w:rFonts w:ascii="Times New Roman" w:hAnsi="Times New Roman" w:cs="Times New Roman"/>
                <w:szCs w:val="28"/>
              </w:rPr>
              <w:t xml:space="preserve"> обращайтесь:</w:t>
            </w:r>
          </w:p>
          <w:p w:rsidR="00B50DE3" w:rsidRPr="00B50DE3" w:rsidRDefault="00B50DE3" w:rsidP="00B50DE3">
            <w:pPr>
              <w:pStyle w:val="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DE3">
              <w:rPr>
                <w:rFonts w:ascii="Times New Roman" w:hAnsi="Times New Roman" w:cs="Times New Roman"/>
                <w:szCs w:val="28"/>
              </w:rPr>
              <w:t>Петров Иван Владимирович</w:t>
            </w:r>
          </w:p>
          <w:p w:rsidR="00B50DE3" w:rsidRPr="00B50DE3" w:rsidRDefault="00B50DE3" w:rsidP="00B50DE3">
            <w:pPr>
              <w:pStyle w:val="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DE3">
              <w:rPr>
                <w:rFonts w:ascii="Times New Roman" w:hAnsi="Times New Roman" w:cs="Times New Roman"/>
                <w:szCs w:val="28"/>
              </w:rPr>
              <w:t>Ivan.Petrov.tlt@gmail.com</w:t>
            </w:r>
          </w:p>
        </w:tc>
      </w:tr>
    </w:tbl>
    <w:p w:rsidR="00893AC2" w:rsidRDefault="00893AC2" w:rsidP="003A794E">
      <w:pPr>
        <w:pStyle w:val="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AC2" w:rsidRDefault="00893AC2" w:rsidP="003A794E">
      <w:pPr>
        <w:pStyle w:val="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16D" w:rsidRPr="00383F47" w:rsidRDefault="00383F47" w:rsidP="003A794E">
      <w:pPr>
        <w:pStyle w:val="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3F47">
        <w:rPr>
          <w:rFonts w:ascii="Times New Roman" w:hAnsi="Times New Roman" w:cs="Times New Roman"/>
          <w:b/>
          <w:sz w:val="28"/>
          <w:szCs w:val="28"/>
        </w:rPr>
        <w:t>П</w:t>
      </w:r>
      <w:r w:rsidR="008264F3" w:rsidRPr="00383F47">
        <w:rPr>
          <w:rFonts w:ascii="Times New Roman" w:hAnsi="Times New Roman" w:cs="Times New Roman"/>
          <w:b/>
          <w:sz w:val="28"/>
          <w:szCs w:val="28"/>
        </w:rPr>
        <w:t>рофориентационн</w:t>
      </w:r>
      <w:r w:rsidRPr="00383F4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8264F3" w:rsidRPr="00383F47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Pr="00383F47">
        <w:rPr>
          <w:rFonts w:ascii="Times New Roman" w:hAnsi="Times New Roman" w:cs="Times New Roman"/>
          <w:b/>
          <w:sz w:val="28"/>
          <w:szCs w:val="28"/>
        </w:rPr>
        <w:t>«Дело будущего»</w:t>
      </w:r>
    </w:p>
    <w:p w:rsidR="0003616D" w:rsidRPr="00383F47" w:rsidRDefault="0003616D" w:rsidP="003A794E">
      <w:pPr>
        <w:pStyle w:val="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82EAF" w:rsidRPr="00882EAF" w:rsidRDefault="00882EAF" w:rsidP="003A794E">
      <w:pPr>
        <w:pStyle w:val="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ОбщИнф"/>
      <w:r w:rsidRPr="00882EAF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bookmarkEnd w:id="0"/>
    <w:p w:rsidR="00E10329" w:rsidRDefault="004A1A3C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организован инициативной группой представителей экспертного сообщества города Тольятти совместно с </w:t>
      </w:r>
      <w:hyperlink r:id="rId7" w:history="1">
        <w:r w:rsidR="00797A08" w:rsidRPr="00E05673">
          <w:rPr>
            <w:rStyle w:val="a6"/>
            <w:rFonts w:ascii="Times New Roman" w:hAnsi="Times New Roman" w:cs="Times New Roman"/>
            <w:sz w:val="28"/>
            <w:szCs w:val="28"/>
          </w:rPr>
          <w:t>Тольяттинск</w:t>
        </w:r>
        <w:r w:rsidRPr="00E05673">
          <w:rPr>
            <w:rStyle w:val="a6"/>
            <w:rFonts w:ascii="Times New Roman" w:hAnsi="Times New Roman" w:cs="Times New Roman"/>
            <w:sz w:val="28"/>
            <w:szCs w:val="28"/>
          </w:rPr>
          <w:t>им</w:t>
        </w:r>
        <w:r w:rsidR="00797A08" w:rsidRPr="00E05673">
          <w:rPr>
            <w:rStyle w:val="a6"/>
            <w:rFonts w:ascii="Times New Roman" w:hAnsi="Times New Roman" w:cs="Times New Roman"/>
            <w:sz w:val="28"/>
            <w:szCs w:val="28"/>
          </w:rPr>
          <w:t xml:space="preserve"> центр</w:t>
        </w:r>
        <w:r w:rsidRPr="00E05673">
          <w:rPr>
            <w:rStyle w:val="a6"/>
            <w:rFonts w:ascii="Times New Roman" w:hAnsi="Times New Roman" w:cs="Times New Roman"/>
            <w:sz w:val="28"/>
            <w:szCs w:val="28"/>
          </w:rPr>
          <w:t>ом</w:t>
        </w:r>
        <w:r w:rsidR="00797A08" w:rsidRPr="00E05673">
          <w:rPr>
            <w:rStyle w:val="a6"/>
            <w:rFonts w:ascii="Times New Roman" w:hAnsi="Times New Roman" w:cs="Times New Roman"/>
            <w:sz w:val="28"/>
            <w:szCs w:val="28"/>
          </w:rPr>
          <w:t xml:space="preserve"> трудовых ресурсов</w:t>
        </w:r>
      </w:hyperlink>
      <w:r w:rsidR="00797A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055FB4">
        <w:rPr>
          <w:rFonts w:ascii="Times New Roman" w:hAnsi="Times New Roman" w:cs="Times New Roman"/>
          <w:sz w:val="28"/>
          <w:szCs w:val="28"/>
        </w:rPr>
        <w:t xml:space="preserve">технопарка в сфере высоких технологий </w:t>
      </w:r>
      <w:hyperlink r:id="rId8" w:history="1">
        <w:r w:rsidR="00055FB4" w:rsidRPr="00E05673">
          <w:rPr>
            <w:rStyle w:val="a6"/>
            <w:rFonts w:ascii="Times New Roman" w:hAnsi="Times New Roman" w:cs="Times New Roman"/>
            <w:sz w:val="28"/>
            <w:szCs w:val="28"/>
          </w:rPr>
          <w:t>«Жигулевская долина»</w:t>
        </w:r>
      </w:hyperlink>
      <w:r w:rsidR="00055FB4" w:rsidRPr="00055FB4">
        <w:rPr>
          <w:rFonts w:ascii="Times New Roman" w:hAnsi="Times New Roman" w:cs="Times New Roman"/>
          <w:sz w:val="28"/>
          <w:szCs w:val="28"/>
        </w:rPr>
        <w:t xml:space="preserve"> </w:t>
      </w:r>
      <w:r w:rsidR="00055FB4">
        <w:rPr>
          <w:rFonts w:ascii="Times New Roman" w:hAnsi="Times New Roman" w:cs="Times New Roman"/>
          <w:sz w:val="28"/>
          <w:szCs w:val="28"/>
        </w:rPr>
        <w:t xml:space="preserve">и </w:t>
      </w:r>
      <w:r w:rsidR="008A4F6C">
        <w:rPr>
          <w:rFonts w:ascii="Times New Roman" w:hAnsi="Times New Roman" w:cs="Times New Roman"/>
          <w:sz w:val="28"/>
          <w:szCs w:val="28"/>
        </w:rPr>
        <w:t xml:space="preserve">ФГБОУ ВПО </w:t>
      </w:r>
      <w:hyperlink r:id="rId9" w:history="1">
        <w:r w:rsidR="008A4F6C" w:rsidRPr="008A4F6C">
          <w:rPr>
            <w:rStyle w:val="a6"/>
            <w:rFonts w:ascii="Times New Roman" w:hAnsi="Times New Roman" w:cs="Times New Roman"/>
            <w:sz w:val="28"/>
            <w:szCs w:val="28"/>
          </w:rPr>
          <w:t>«Тольяттинский государственный университет»</w:t>
        </w:r>
      </w:hyperlink>
      <w:r w:rsidR="00055FB4">
        <w:t>.</w:t>
      </w:r>
      <w:r w:rsidR="008A4F6C">
        <w:rPr>
          <w:rFonts w:ascii="Times New Roman" w:hAnsi="Times New Roman" w:cs="Times New Roman"/>
          <w:sz w:val="28"/>
          <w:szCs w:val="28"/>
        </w:rPr>
        <w:t xml:space="preserve"> </w:t>
      </w:r>
      <w:r w:rsidR="00F379C4">
        <w:rPr>
          <w:rFonts w:ascii="Times New Roman" w:hAnsi="Times New Roman" w:cs="Times New Roman"/>
          <w:sz w:val="28"/>
          <w:szCs w:val="28"/>
        </w:rPr>
        <w:t xml:space="preserve">В основе проекта лежит </w:t>
      </w:r>
      <w:hyperlink r:id="rId10" w:history="1">
        <w:r w:rsidRPr="006A2DEB">
          <w:rPr>
            <w:rStyle w:val="a6"/>
            <w:rFonts w:ascii="Times New Roman" w:hAnsi="Times New Roman" w:cs="Times New Roman"/>
            <w:sz w:val="28"/>
            <w:szCs w:val="28"/>
          </w:rPr>
          <w:t>Атлас новых профессий</w:t>
        </w:r>
      </w:hyperlink>
      <w:r w:rsidR="00797A08">
        <w:rPr>
          <w:rFonts w:ascii="Times New Roman" w:hAnsi="Times New Roman" w:cs="Times New Roman"/>
          <w:sz w:val="28"/>
          <w:szCs w:val="28"/>
        </w:rPr>
        <w:t xml:space="preserve"> АНО «Агентство стратегических инициатив по продвижению новых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F4" w:rsidRDefault="00211DF4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9C4">
        <w:rPr>
          <w:rFonts w:ascii="Times New Roman" w:hAnsi="Times New Roman" w:cs="Times New Roman"/>
          <w:b/>
          <w:sz w:val="28"/>
          <w:szCs w:val="28"/>
        </w:rPr>
        <w:t>Целью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55FB4">
        <w:rPr>
          <w:rFonts w:ascii="Times New Roman" w:hAnsi="Times New Roman" w:cs="Times New Roman"/>
          <w:sz w:val="28"/>
          <w:szCs w:val="28"/>
        </w:rPr>
        <w:t>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повышение конкурса в региональных профессиональных образовательных учреждениях на специальности, являющиеся «базовыми» для профессий будущего.</w:t>
      </w:r>
    </w:p>
    <w:p w:rsidR="00055FB4" w:rsidRDefault="00E10329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направлен на реализацию п.70 Стратегии национальной безопасности </w:t>
      </w:r>
      <w:r w:rsidRPr="00E10329">
        <w:rPr>
          <w:rFonts w:ascii="Times New Roman" w:hAnsi="Times New Roman" w:cs="Times New Roman"/>
          <w:sz w:val="28"/>
          <w:szCs w:val="28"/>
        </w:rPr>
        <w:t>РФ (утв.</w:t>
      </w:r>
      <w:r w:rsidR="00C87631">
        <w:rPr>
          <w:rFonts w:ascii="Times New Roman" w:hAnsi="Times New Roman" w:cs="Times New Roman"/>
          <w:sz w:val="28"/>
          <w:szCs w:val="28"/>
        </w:rPr>
        <w:t xml:space="preserve"> </w:t>
      </w:r>
      <w:r w:rsidRPr="00E10329">
        <w:rPr>
          <w:rFonts w:ascii="Times New Roman" w:hAnsi="Times New Roman" w:cs="Times New Roman"/>
          <w:sz w:val="28"/>
          <w:szCs w:val="28"/>
        </w:rPr>
        <w:t>Указом Президента РФ от 31 декабря 2015 г. N 683)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1DF4">
        <w:rPr>
          <w:rFonts w:ascii="Times New Roman" w:hAnsi="Times New Roman" w:cs="Times New Roman"/>
          <w:sz w:val="28"/>
          <w:szCs w:val="28"/>
        </w:rPr>
        <w:t xml:space="preserve"> </w:t>
      </w:r>
      <w:r w:rsidR="00C87631">
        <w:rPr>
          <w:rFonts w:ascii="Times New Roman" w:hAnsi="Times New Roman" w:cs="Times New Roman"/>
          <w:sz w:val="28"/>
          <w:szCs w:val="28"/>
        </w:rPr>
        <w:t>Также,</w:t>
      </w:r>
      <w:r w:rsidR="0021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4F3" w:rsidRDefault="00211DF4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97A08">
        <w:rPr>
          <w:rFonts w:ascii="Times New Roman" w:hAnsi="Times New Roman" w:cs="Times New Roman"/>
          <w:sz w:val="28"/>
          <w:szCs w:val="28"/>
        </w:rPr>
        <w:t xml:space="preserve">оект 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8264F3" w:rsidRPr="00055FB4">
        <w:rPr>
          <w:rFonts w:ascii="Times New Roman" w:hAnsi="Times New Roman" w:cs="Times New Roman"/>
          <w:b/>
          <w:sz w:val="28"/>
          <w:szCs w:val="28"/>
        </w:rPr>
        <w:t>преодоление дисбаланса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 в структуре выпускников профессионального образования в </w:t>
      </w:r>
      <w:r w:rsidR="004A1A3C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8264F3" w:rsidRPr="00797A08">
        <w:rPr>
          <w:rFonts w:ascii="Times New Roman" w:hAnsi="Times New Roman" w:cs="Times New Roman"/>
          <w:color w:val="auto"/>
          <w:sz w:val="28"/>
          <w:szCs w:val="28"/>
        </w:rPr>
        <w:t>и требованиями рынка труда,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 в том числе перспективными, выраженными в Атласе новых профессий АНО </w:t>
      </w:r>
      <w:r w:rsidR="005D7969">
        <w:rPr>
          <w:rFonts w:ascii="Times New Roman" w:hAnsi="Times New Roman" w:cs="Times New Roman"/>
          <w:sz w:val="28"/>
          <w:szCs w:val="28"/>
        </w:rPr>
        <w:t>«</w:t>
      </w:r>
      <w:r w:rsidR="008264F3" w:rsidRPr="00383F47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проектов</w:t>
      </w:r>
      <w:r w:rsidR="005D7969">
        <w:rPr>
          <w:rFonts w:ascii="Times New Roman" w:hAnsi="Times New Roman" w:cs="Times New Roman"/>
          <w:sz w:val="28"/>
          <w:szCs w:val="28"/>
        </w:rPr>
        <w:t>»</w:t>
      </w:r>
      <w:r w:rsidR="008264F3" w:rsidRPr="00383F47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="00C876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64F3"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8264F3" w:rsidRPr="00F379C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20185" w:rsidRPr="00F379C4">
        <w:rPr>
          <w:rFonts w:ascii="Times New Roman" w:hAnsi="Times New Roman" w:cs="Times New Roman"/>
          <w:sz w:val="28"/>
          <w:szCs w:val="28"/>
        </w:rPr>
        <w:t>П</w:t>
      </w:r>
      <w:r w:rsidR="008264F3" w:rsidRPr="00F379C4">
        <w:rPr>
          <w:rFonts w:ascii="Times New Roman" w:hAnsi="Times New Roman" w:cs="Times New Roman"/>
          <w:sz w:val="28"/>
          <w:szCs w:val="28"/>
        </w:rPr>
        <w:t xml:space="preserve">роекта позволяет </w:t>
      </w:r>
      <w:r w:rsidR="00F379C4" w:rsidRPr="00F379C4">
        <w:rPr>
          <w:rFonts w:ascii="Times New Roman" w:hAnsi="Times New Roman" w:cs="Times New Roman"/>
          <w:sz w:val="28"/>
          <w:szCs w:val="28"/>
        </w:rPr>
        <w:t>организовывать</w:t>
      </w:r>
      <w:r w:rsidR="008264F3" w:rsidRPr="00F379C4">
        <w:rPr>
          <w:rFonts w:ascii="Times New Roman" w:hAnsi="Times New Roman" w:cs="Times New Roman"/>
          <w:sz w:val="28"/>
          <w:szCs w:val="28"/>
        </w:rPr>
        <w:t xml:space="preserve"> его в любом </w:t>
      </w:r>
      <w:r w:rsidR="004A1A3C" w:rsidRPr="00F379C4">
        <w:rPr>
          <w:rFonts w:ascii="Times New Roman" w:hAnsi="Times New Roman" w:cs="Times New Roman"/>
          <w:sz w:val="28"/>
          <w:szCs w:val="28"/>
        </w:rPr>
        <w:t>субъекте РФ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16D" w:rsidRPr="00383F47" w:rsidRDefault="008264F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 xml:space="preserve">Предлагаемый в </w:t>
      </w:r>
      <w:r w:rsidR="00BE7333">
        <w:rPr>
          <w:rFonts w:ascii="Times New Roman" w:hAnsi="Times New Roman" w:cs="Times New Roman"/>
          <w:sz w:val="28"/>
          <w:szCs w:val="28"/>
        </w:rPr>
        <w:t>П</w:t>
      </w:r>
      <w:r w:rsidRPr="00383F47">
        <w:rPr>
          <w:rFonts w:ascii="Times New Roman" w:hAnsi="Times New Roman" w:cs="Times New Roman"/>
          <w:sz w:val="28"/>
          <w:szCs w:val="28"/>
        </w:rPr>
        <w:t xml:space="preserve">роекте комплекс мероприятий </w:t>
      </w:r>
      <w:r w:rsidR="00E10329" w:rsidRPr="00F379C4">
        <w:rPr>
          <w:rFonts w:ascii="Times New Roman" w:hAnsi="Times New Roman" w:cs="Times New Roman"/>
          <w:b/>
          <w:sz w:val="28"/>
          <w:szCs w:val="28"/>
        </w:rPr>
        <w:t>может быть адаптирован для</w:t>
      </w:r>
      <w:r w:rsidRPr="00F379C4">
        <w:rPr>
          <w:rFonts w:ascii="Times New Roman" w:hAnsi="Times New Roman" w:cs="Times New Roman"/>
          <w:b/>
          <w:sz w:val="28"/>
          <w:szCs w:val="28"/>
        </w:rPr>
        <w:t xml:space="preserve"> любо</w:t>
      </w:r>
      <w:r w:rsidR="00E10329" w:rsidRPr="00F379C4">
        <w:rPr>
          <w:rFonts w:ascii="Times New Roman" w:hAnsi="Times New Roman" w:cs="Times New Roman"/>
          <w:b/>
          <w:sz w:val="28"/>
          <w:szCs w:val="28"/>
        </w:rPr>
        <w:t>го</w:t>
      </w:r>
      <w:r w:rsidRPr="00F379C4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E10329" w:rsidRPr="00F379C4">
        <w:rPr>
          <w:rFonts w:ascii="Times New Roman" w:hAnsi="Times New Roman" w:cs="Times New Roman"/>
          <w:b/>
          <w:sz w:val="28"/>
          <w:szCs w:val="28"/>
        </w:rPr>
        <w:t>а или региона</w:t>
      </w:r>
      <w:r w:rsidRPr="00383F47">
        <w:rPr>
          <w:rFonts w:ascii="Times New Roman" w:hAnsi="Times New Roman" w:cs="Times New Roman"/>
          <w:sz w:val="28"/>
          <w:szCs w:val="28"/>
        </w:rPr>
        <w:t xml:space="preserve"> и встраивается в </w:t>
      </w:r>
      <w:r w:rsidR="00F97ADD">
        <w:rPr>
          <w:rFonts w:ascii="Times New Roman" w:hAnsi="Times New Roman" w:cs="Times New Roman"/>
          <w:sz w:val="28"/>
          <w:szCs w:val="28"/>
        </w:rPr>
        <w:t xml:space="preserve">местную </w:t>
      </w:r>
      <w:r w:rsidRPr="00383F47">
        <w:rPr>
          <w:rFonts w:ascii="Times New Roman" w:hAnsi="Times New Roman" w:cs="Times New Roman"/>
          <w:sz w:val="28"/>
          <w:szCs w:val="28"/>
        </w:rPr>
        <w:t>систему профориентации</w:t>
      </w:r>
      <w:r w:rsidR="00421BA1">
        <w:rPr>
          <w:rFonts w:ascii="Times New Roman" w:hAnsi="Times New Roman" w:cs="Times New Roman"/>
          <w:sz w:val="28"/>
          <w:szCs w:val="28"/>
        </w:rPr>
        <w:t>, поскольку</w:t>
      </w:r>
      <w:r w:rsidRPr="00383F47">
        <w:rPr>
          <w:rFonts w:ascii="Times New Roman" w:hAnsi="Times New Roman" w:cs="Times New Roman"/>
          <w:sz w:val="28"/>
          <w:szCs w:val="28"/>
        </w:rPr>
        <w:t xml:space="preserve"> активиз</w:t>
      </w:r>
      <w:r w:rsidR="00421BA1">
        <w:rPr>
          <w:rFonts w:ascii="Times New Roman" w:hAnsi="Times New Roman" w:cs="Times New Roman"/>
          <w:sz w:val="28"/>
          <w:szCs w:val="28"/>
        </w:rPr>
        <w:t>ирует</w:t>
      </w:r>
      <w:r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E10329">
        <w:rPr>
          <w:rFonts w:ascii="Times New Roman" w:hAnsi="Times New Roman" w:cs="Times New Roman"/>
          <w:sz w:val="28"/>
          <w:szCs w:val="28"/>
        </w:rPr>
        <w:t>интерес учащихся к актуальным</w:t>
      </w:r>
      <w:r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421BA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E10329">
        <w:rPr>
          <w:rFonts w:ascii="Times New Roman" w:hAnsi="Times New Roman" w:cs="Times New Roman"/>
          <w:sz w:val="28"/>
          <w:szCs w:val="28"/>
        </w:rPr>
        <w:t xml:space="preserve">на </w:t>
      </w:r>
      <w:r w:rsidRPr="00383F47">
        <w:rPr>
          <w:rFonts w:ascii="Times New Roman" w:hAnsi="Times New Roman" w:cs="Times New Roman"/>
          <w:sz w:val="28"/>
          <w:szCs w:val="28"/>
        </w:rPr>
        <w:t>данно</w:t>
      </w:r>
      <w:r w:rsidR="00E10329">
        <w:rPr>
          <w:rFonts w:ascii="Times New Roman" w:hAnsi="Times New Roman" w:cs="Times New Roman"/>
          <w:sz w:val="28"/>
          <w:szCs w:val="28"/>
        </w:rPr>
        <w:t>й</w:t>
      </w:r>
      <w:r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E10329">
        <w:rPr>
          <w:rFonts w:ascii="Times New Roman" w:hAnsi="Times New Roman" w:cs="Times New Roman"/>
          <w:sz w:val="28"/>
          <w:szCs w:val="28"/>
        </w:rPr>
        <w:t>территории</w:t>
      </w:r>
      <w:r w:rsidRPr="00383F47">
        <w:rPr>
          <w:rFonts w:ascii="Times New Roman" w:hAnsi="Times New Roman" w:cs="Times New Roman"/>
          <w:sz w:val="28"/>
          <w:szCs w:val="28"/>
        </w:rPr>
        <w:t xml:space="preserve"> индустриям ближайшего будущего</w:t>
      </w:r>
      <w:r w:rsidR="00E10329">
        <w:rPr>
          <w:rFonts w:ascii="Times New Roman" w:hAnsi="Times New Roman" w:cs="Times New Roman"/>
          <w:sz w:val="28"/>
          <w:szCs w:val="28"/>
        </w:rPr>
        <w:t>.</w:t>
      </w:r>
      <w:r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E10329">
        <w:rPr>
          <w:rFonts w:ascii="Times New Roman" w:hAnsi="Times New Roman" w:cs="Times New Roman"/>
          <w:sz w:val="28"/>
          <w:szCs w:val="28"/>
        </w:rPr>
        <w:t>Э</w:t>
      </w:r>
      <w:r w:rsidRPr="00383F47">
        <w:rPr>
          <w:rFonts w:ascii="Times New Roman" w:hAnsi="Times New Roman" w:cs="Times New Roman"/>
          <w:sz w:val="28"/>
          <w:szCs w:val="28"/>
        </w:rPr>
        <w:t>то позволяет повысить конкурс на соответствующие образовательные программы учебных заведений города/</w:t>
      </w:r>
      <w:r w:rsidR="00265226">
        <w:rPr>
          <w:rFonts w:ascii="Times New Roman" w:hAnsi="Times New Roman" w:cs="Times New Roman"/>
          <w:sz w:val="28"/>
          <w:szCs w:val="28"/>
        </w:rPr>
        <w:t xml:space="preserve"> </w:t>
      </w:r>
      <w:r w:rsidRPr="00383F47">
        <w:rPr>
          <w:rFonts w:ascii="Times New Roman" w:hAnsi="Times New Roman" w:cs="Times New Roman"/>
          <w:sz w:val="28"/>
          <w:szCs w:val="28"/>
        </w:rPr>
        <w:t>агломерации/</w:t>
      </w:r>
      <w:r w:rsidR="00265226">
        <w:rPr>
          <w:rFonts w:ascii="Times New Roman" w:hAnsi="Times New Roman" w:cs="Times New Roman"/>
          <w:sz w:val="28"/>
          <w:szCs w:val="28"/>
        </w:rPr>
        <w:t xml:space="preserve"> </w:t>
      </w:r>
      <w:r w:rsidRPr="00383F47">
        <w:rPr>
          <w:rFonts w:ascii="Times New Roman" w:hAnsi="Times New Roman" w:cs="Times New Roman"/>
          <w:sz w:val="28"/>
          <w:szCs w:val="28"/>
        </w:rPr>
        <w:t xml:space="preserve">региона. </w:t>
      </w:r>
    </w:p>
    <w:p w:rsidR="0003616D" w:rsidRPr="00383F47" w:rsidRDefault="008264F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9C4">
        <w:rPr>
          <w:rFonts w:ascii="Times New Roman" w:hAnsi="Times New Roman" w:cs="Times New Roman"/>
          <w:b/>
          <w:sz w:val="28"/>
          <w:szCs w:val="28"/>
        </w:rPr>
        <w:t>Принципиальными свойствами</w:t>
      </w:r>
      <w:r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420185">
        <w:rPr>
          <w:rFonts w:ascii="Times New Roman" w:hAnsi="Times New Roman" w:cs="Times New Roman"/>
          <w:sz w:val="28"/>
          <w:szCs w:val="28"/>
        </w:rPr>
        <w:t>П</w:t>
      </w:r>
      <w:r w:rsidRPr="00383F47">
        <w:rPr>
          <w:rFonts w:ascii="Times New Roman" w:hAnsi="Times New Roman" w:cs="Times New Roman"/>
          <w:sz w:val="28"/>
          <w:szCs w:val="28"/>
        </w:rPr>
        <w:t>роекта являются системность подхода, использование проектного метода работы с молодежью, а также протяженность во времени</w:t>
      </w:r>
      <w:r w:rsidR="00E10329">
        <w:rPr>
          <w:rFonts w:ascii="Times New Roman" w:hAnsi="Times New Roman" w:cs="Times New Roman"/>
          <w:sz w:val="28"/>
          <w:szCs w:val="28"/>
        </w:rPr>
        <w:t xml:space="preserve"> (ежегодность)</w:t>
      </w:r>
      <w:r w:rsidRPr="00383F47">
        <w:rPr>
          <w:rFonts w:ascii="Times New Roman" w:hAnsi="Times New Roman" w:cs="Times New Roman"/>
          <w:sz w:val="28"/>
          <w:szCs w:val="28"/>
        </w:rPr>
        <w:t xml:space="preserve">, </w:t>
      </w:r>
      <w:r w:rsidR="00420185">
        <w:rPr>
          <w:rFonts w:ascii="Times New Roman" w:hAnsi="Times New Roman" w:cs="Times New Roman"/>
          <w:sz w:val="28"/>
          <w:szCs w:val="28"/>
        </w:rPr>
        <w:t>обеспечивающая нарастающий эффект</w:t>
      </w:r>
      <w:r w:rsidRPr="00383F47">
        <w:rPr>
          <w:rFonts w:ascii="Times New Roman" w:hAnsi="Times New Roman" w:cs="Times New Roman"/>
          <w:sz w:val="28"/>
          <w:szCs w:val="28"/>
        </w:rPr>
        <w:t xml:space="preserve">. </w:t>
      </w:r>
      <w:r w:rsidR="00265226">
        <w:rPr>
          <w:rFonts w:ascii="Times New Roman" w:hAnsi="Times New Roman" w:cs="Times New Roman"/>
          <w:sz w:val="28"/>
          <w:szCs w:val="28"/>
        </w:rPr>
        <w:t>Целевой аудиторией Проекта является не только учащаяся молодежь, но и их педагоги и родители. Сами у</w:t>
      </w:r>
      <w:r w:rsidR="00420185">
        <w:rPr>
          <w:rFonts w:ascii="Times New Roman" w:hAnsi="Times New Roman" w:cs="Times New Roman"/>
          <w:sz w:val="28"/>
          <w:szCs w:val="28"/>
        </w:rPr>
        <w:t>чащиеся</w:t>
      </w:r>
      <w:r w:rsidRPr="00383F47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383F47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в конкретных событиях в рамках мероприятий, но и получают возможность в итоге разработать реальный </w:t>
      </w:r>
      <w:r w:rsidR="005D7969">
        <w:rPr>
          <w:rFonts w:ascii="Times New Roman" w:hAnsi="Times New Roman" w:cs="Times New Roman"/>
          <w:sz w:val="28"/>
          <w:szCs w:val="28"/>
        </w:rPr>
        <w:t xml:space="preserve">ученический инновационный </w:t>
      </w:r>
      <w:r w:rsidRPr="00383F47">
        <w:rPr>
          <w:rFonts w:ascii="Times New Roman" w:hAnsi="Times New Roman" w:cs="Times New Roman"/>
          <w:sz w:val="28"/>
          <w:szCs w:val="28"/>
        </w:rPr>
        <w:t xml:space="preserve">проект по актуальным для города и агломерации задачам (проблемам) с погружением в соответствующую </w:t>
      </w:r>
      <w:r w:rsidR="005D7969">
        <w:rPr>
          <w:rFonts w:ascii="Times New Roman" w:hAnsi="Times New Roman" w:cs="Times New Roman"/>
          <w:sz w:val="28"/>
          <w:szCs w:val="28"/>
        </w:rPr>
        <w:t>«</w:t>
      </w:r>
      <w:r w:rsidRPr="00383F47">
        <w:rPr>
          <w:rFonts w:ascii="Times New Roman" w:hAnsi="Times New Roman" w:cs="Times New Roman"/>
          <w:sz w:val="28"/>
          <w:szCs w:val="28"/>
        </w:rPr>
        <w:t>индустрию будущего</w:t>
      </w:r>
      <w:r w:rsidR="005D7969">
        <w:rPr>
          <w:rFonts w:ascii="Times New Roman" w:hAnsi="Times New Roman" w:cs="Times New Roman"/>
          <w:sz w:val="28"/>
          <w:szCs w:val="28"/>
        </w:rPr>
        <w:t>»</w:t>
      </w:r>
      <w:r w:rsidRPr="00383F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 ученический п</w:t>
      </w:r>
      <w:r w:rsidRPr="00383F4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20185">
        <w:rPr>
          <w:rFonts w:ascii="Times New Roman" w:hAnsi="Times New Roman" w:cs="Times New Roman"/>
          <w:sz w:val="28"/>
          <w:szCs w:val="28"/>
        </w:rPr>
        <w:t xml:space="preserve">является важным элементом профориентационного воздействия и </w:t>
      </w:r>
      <w:r w:rsidRPr="00383F47">
        <w:rPr>
          <w:rFonts w:ascii="Times New Roman" w:hAnsi="Times New Roman" w:cs="Times New Roman"/>
          <w:sz w:val="28"/>
          <w:szCs w:val="28"/>
        </w:rPr>
        <w:t>будет защищаться перед комиссией из представителей учебных заведений</w:t>
      </w:r>
      <w:r w:rsidR="00F379C4">
        <w:rPr>
          <w:rFonts w:ascii="Times New Roman" w:hAnsi="Times New Roman" w:cs="Times New Roman"/>
          <w:sz w:val="28"/>
          <w:szCs w:val="28"/>
        </w:rPr>
        <w:t>, институтов развития и властей</w:t>
      </w:r>
      <w:r w:rsidR="00B00CD2">
        <w:rPr>
          <w:rFonts w:ascii="Times New Roman" w:hAnsi="Times New Roman" w:cs="Times New Roman"/>
          <w:sz w:val="28"/>
          <w:szCs w:val="28"/>
        </w:rPr>
        <w:t>.</w:t>
      </w:r>
    </w:p>
    <w:p w:rsidR="005D7969" w:rsidRDefault="00BE7333" w:rsidP="003A794E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>В ходе мероприяти</w:t>
      </w:r>
      <w:r w:rsidR="00E10329">
        <w:rPr>
          <w:rFonts w:ascii="Times New Roman" w:hAnsi="Times New Roman" w:cs="Times New Roman"/>
          <w:sz w:val="28"/>
          <w:szCs w:val="28"/>
        </w:rPr>
        <w:t>й</w:t>
      </w:r>
      <w:r w:rsidRPr="00383F47">
        <w:rPr>
          <w:rFonts w:ascii="Times New Roman" w:hAnsi="Times New Roman" w:cs="Times New Roman"/>
          <w:sz w:val="28"/>
          <w:szCs w:val="28"/>
        </w:rPr>
        <w:t xml:space="preserve"> участники погружаются в соответствующие перспективные сферы человеческой деятельности благодаря применению принципа проблемного обучения - через решение известных им проблем (задач) ранее неизвестными методами (из соответствующих сфер). Проект предполагает проведение серии открытых обучающих и конкурсных событий по технологиям шестого технологического уклада для школьников и студентов</w:t>
      </w:r>
      <w:r w:rsidR="007A02F9">
        <w:rPr>
          <w:rFonts w:ascii="Times New Roman" w:hAnsi="Times New Roman" w:cs="Times New Roman"/>
          <w:sz w:val="28"/>
          <w:szCs w:val="28"/>
        </w:rPr>
        <w:t>, а также педагогов и родителей</w:t>
      </w:r>
      <w:r w:rsidRPr="00383F47">
        <w:rPr>
          <w:rFonts w:ascii="Times New Roman" w:hAnsi="Times New Roman" w:cs="Times New Roman"/>
          <w:sz w:val="28"/>
          <w:szCs w:val="28"/>
        </w:rPr>
        <w:t xml:space="preserve"> с привлечением партнеров из </w:t>
      </w:r>
      <w:r w:rsidRPr="005D7969">
        <w:rPr>
          <w:rFonts w:ascii="Times New Roman" w:hAnsi="Times New Roman" w:cs="Times New Roman"/>
          <w:color w:val="auto"/>
          <w:sz w:val="28"/>
          <w:szCs w:val="28"/>
        </w:rPr>
        <w:t>институтов инновационно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D79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инфраструктуры</w:t>
      </w:r>
      <w:r w:rsidRPr="005D7969">
        <w:rPr>
          <w:rFonts w:ascii="Times New Roman" w:hAnsi="Times New Roman" w:cs="Times New Roman"/>
          <w:color w:val="auto"/>
          <w:sz w:val="28"/>
          <w:szCs w:val="28"/>
        </w:rPr>
        <w:t xml:space="preserve"> Самарской области.</w:t>
      </w:r>
    </w:p>
    <w:p w:rsidR="00361A05" w:rsidRDefault="00361A05" w:rsidP="003A794E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подаче материала задействуются непосредственные носители перспективных технологий, что обеспечивает не только глубокую подачу и взаимный интерес, но и позволяет учебным заведениям и работодателям лично взаимодействовать с будущими студентами/работниками.</w:t>
      </w:r>
    </w:p>
    <w:p w:rsidR="001E7838" w:rsidRDefault="001E7838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838" w:rsidRPr="00882EAF" w:rsidRDefault="001E7838" w:rsidP="003A794E">
      <w:pPr>
        <w:pStyle w:val="normal"/>
        <w:ind w:firstLine="720"/>
        <w:jc w:val="both"/>
        <w:rPr>
          <w:rFonts w:ascii="Times New Roman" w:hAnsi="Times New Roman" w:cs="Times New Roman"/>
          <w:b/>
          <w:vanish/>
          <w:sz w:val="28"/>
          <w:szCs w:val="28"/>
          <w:specVanish/>
        </w:rPr>
      </w:pPr>
      <w:bookmarkStart w:id="1" w:name="ОС"/>
      <w:r w:rsidRPr="00882EAF">
        <w:rPr>
          <w:rFonts w:ascii="Times New Roman" w:hAnsi="Times New Roman" w:cs="Times New Roman"/>
          <w:b/>
          <w:sz w:val="28"/>
          <w:szCs w:val="28"/>
        </w:rPr>
        <w:t>Обучающие сессии для учащихся.</w:t>
      </w:r>
    </w:p>
    <w:p w:rsidR="001E7838" w:rsidRPr="00882EAF" w:rsidRDefault="001E7838" w:rsidP="003A794E">
      <w:pPr>
        <w:pStyle w:val="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A44986" w:rsidRDefault="00A44986" w:rsidP="003A794E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Главной целью сессий для учащихся является формирование в сознании учащейся молодежи понимания скорости предстоящих перемен и необходимости их учета, что должно выразиться в повышении конкурса и среднего балла на специальностях региональных учреждений профобразования, которые можно считать «базовыми» для профессий будущего.</w:t>
      </w:r>
    </w:p>
    <w:p w:rsidR="00055FB4" w:rsidRDefault="00A44986" w:rsidP="00F379C4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37">
        <w:rPr>
          <w:rFonts w:ascii="Times New Roman" w:hAnsi="Times New Roman" w:cs="Times New Roman"/>
          <w:color w:val="auto"/>
          <w:sz w:val="28"/>
          <w:szCs w:val="28"/>
        </w:rPr>
        <w:t>Подцелью данных сессий является выявление наиболее перспективных учащихся</w:t>
      </w:r>
      <w:r w:rsidR="00A5125A">
        <w:rPr>
          <w:rFonts w:ascii="Times New Roman" w:hAnsi="Times New Roman" w:cs="Times New Roman"/>
          <w:color w:val="auto"/>
          <w:sz w:val="28"/>
          <w:szCs w:val="28"/>
        </w:rPr>
        <w:t>, потенциально заинтересованных в получении соответствующего перспективного образования, и фиксация их на территории области путем включения в научную и инновационную деятельность под патронажем заинтересованного учебного заведения. Это достигается проведением на территории города и всей области открытого конкурса ученических инновационных проектов</w:t>
      </w:r>
      <w:r w:rsidR="00F379C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379C4" w:rsidRDefault="00F379C4" w:rsidP="00F379C4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</w:t>
      </w:r>
      <w:r w:rsidR="00055FB4">
        <w:rPr>
          <w:rFonts w:ascii="Times New Roman" w:hAnsi="Times New Roman" w:cs="Times New Roman"/>
          <w:color w:val="auto"/>
          <w:sz w:val="28"/>
          <w:szCs w:val="28"/>
        </w:rPr>
        <w:t>наличия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5FB4">
        <w:rPr>
          <w:rFonts w:ascii="Times New Roman" w:hAnsi="Times New Roman" w:cs="Times New Roman"/>
          <w:color w:val="auto"/>
          <w:sz w:val="28"/>
          <w:szCs w:val="28"/>
        </w:rPr>
        <w:t>действующего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конкурса ученических проектов, имеет смысл использовать его в данной роли</w:t>
      </w:r>
      <w:r w:rsidR="00A5125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Самарской области таким конкурсом является </w:t>
      </w:r>
      <w:hyperlink r:id="rId11" w:history="1">
        <w:r w:rsidRPr="00F379C4">
          <w:rPr>
            <w:rStyle w:val="a6"/>
            <w:rFonts w:ascii="Times New Roman" w:hAnsi="Times New Roman" w:cs="Times New Roman"/>
            <w:sz w:val="28"/>
            <w:szCs w:val="28"/>
          </w:rPr>
          <w:t>Самарская научно-образовательная программа «ВЗЛЕТ»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79C4">
        <w:rPr>
          <w:rFonts w:ascii="Times New Roman" w:hAnsi="Times New Roman" w:cs="Times New Roman"/>
          <w:color w:val="auto"/>
          <w:sz w:val="28"/>
          <w:szCs w:val="28"/>
        </w:rPr>
        <w:t>конкурсного отбора школьников в Губернаторский реестр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79C4">
        <w:rPr>
          <w:rFonts w:ascii="Times New Roman" w:hAnsi="Times New Roman" w:cs="Times New Roman"/>
          <w:color w:val="auto"/>
          <w:sz w:val="28"/>
          <w:szCs w:val="28"/>
        </w:rPr>
        <w:t>творчески одаренной молодежи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79C4">
        <w:rPr>
          <w:rFonts w:ascii="Times New Roman" w:hAnsi="Times New Roman" w:cs="Times New Roman"/>
          <w:color w:val="auto"/>
          <w:sz w:val="28"/>
          <w:szCs w:val="28"/>
        </w:rPr>
        <w:t>в сфере науки и техники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379C4" w:rsidRDefault="00A5125A" w:rsidP="003A794E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процессе разработки </w:t>
      </w:r>
      <w:r w:rsidR="00F379C4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проектов учащиеся не только «погружаются» в соответствующую тему, что способствует их профориентации, но и могут получать методическую, организационную и иные виды поддержки от заинтересованных </w:t>
      </w:r>
      <w:r w:rsidR="00055FB4">
        <w:rPr>
          <w:rFonts w:ascii="Times New Roman" w:hAnsi="Times New Roman" w:cs="Times New Roman"/>
          <w:color w:val="auto"/>
          <w:sz w:val="28"/>
          <w:szCs w:val="28"/>
        </w:rPr>
        <w:t xml:space="preserve">в этих детях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учебных заведений. </w:t>
      </w:r>
      <w:r w:rsidR="0023284D">
        <w:rPr>
          <w:rFonts w:ascii="Times New Roman" w:hAnsi="Times New Roman" w:cs="Times New Roman"/>
          <w:color w:val="auto"/>
          <w:sz w:val="28"/>
          <w:szCs w:val="28"/>
        </w:rPr>
        <w:t>Для учебных организаций это возможность напрямую взаимодействовать с самыми перспективными будущими абитуриентами, значительная часть которых обычно уезжает учиться в столицы. Однако, начав «дружить» с конкретным учебным учреждением, взаимодействуя со своим куратором, ученик будет психологически привязан и с большей долей вероятности поступит туда, где ему уже все знакомо</w:t>
      </w:r>
      <w:r w:rsidR="00055FB4">
        <w:rPr>
          <w:rFonts w:ascii="Times New Roman" w:hAnsi="Times New Roman" w:cs="Times New Roman"/>
          <w:color w:val="auto"/>
          <w:sz w:val="28"/>
          <w:szCs w:val="28"/>
        </w:rPr>
        <w:t xml:space="preserve"> и понятны перспективы</w:t>
      </w:r>
      <w:r w:rsidR="0023284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530E" w:rsidRDefault="007A02F9" w:rsidP="003A794E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Охват школьников </w:t>
      </w:r>
      <w:r w:rsidR="00FC530E">
        <w:rPr>
          <w:rFonts w:ascii="Times New Roman" w:hAnsi="Times New Roman" w:cs="Times New Roman"/>
          <w:color w:val="auto"/>
          <w:sz w:val="28"/>
          <w:szCs w:val="28"/>
        </w:rPr>
        <w:t>данными мероприятиями предполагается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полный, а выборочный – путем приглашения школ сформировать и направить на сессию команду из 4-6 старшеклассников, имеющих склонности к «технологиям будущего». </w:t>
      </w:r>
      <w:r w:rsidR="001E7838" w:rsidRPr="00FC530E">
        <w:rPr>
          <w:rFonts w:ascii="Times New Roman" w:hAnsi="Times New Roman" w:cs="Times New Roman"/>
          <w:color w:val="auto"/>
          <w:sz w:val="28"/>
          <w:szCs w:val="28"/>
        </w:rPr>
        <w:t>Ограничение количества обусловлено отсутствием необходимости полного охвата</w:t>
      </w:r>
      <w:r w:rsidR="00FC530E" w:rsidRPr="00FC530E">
        <w:rPr>
          <w:rFonts w:ascii="Times New Roman" w:hAnsi="Times New Roman" w:cs="Times New Roman"/>
          <w:color w:val="auto"/>
          <w:sz w:val="28"/>
          <w:szCs w:val="28"/>
        </w:rPr>
        <w:t xml:space="preserve"> всех учащихся</w:t>
      </w:r>
      <w:r w:rsidR="006A14B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E7838" w:rsidRPr="00FC53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4B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C530E">
        <w:rPr>
          <w:rFonts w:ascii="Times New Roman" w:hAnsi="Times New Roman" w:cs="Times New Roman"/>
          <w:color w:val="auto"/>
          <w:sz w:val="28"/>
          <w:szCs w:val="28"/>
        </w:rPr>
        <w:t>оскольку главной целью данного рода мероприятий является не количественный результат, а качественный – активизация внимания будущих абитуриентов на «технологиях будущего»</w:t>
      </w:r>
      <w:r w:rsidR="006A14B3">
        <w:rPr>
          <w:rFonts w:ascii="Times New Roman" w:hAnsi="Times New Roman" w:cs="Times New Roman"/>
          <w:color w:val="auto"/>
          <w:sz w:val="28"/>
          <w:szCs w:val="28"/>
        </w:rPr>
        <w:t>. Н</w:t>
      </w:r>
      <w:r w:rsidR="00FC530E">
        <w:rPr>
          <w:rFonts w:ascii="Times New Roman" w:hAnsi="Times New Roman" w:cs="Times New Roman"/>
          <w:color w:val="auto"/>
          <w:sz w:val="28"/>
          <w:szCs w:val="28"/>
        </w:rPr>
        <w:t xml:space="preserve">еохваченные учащиеся также получают информацию, но уже благодаря эффекту «сарафанного радио», что можно считать не менее </w:t>
      </w:r>
      <w:r w:rsidR="006A14B3">
        <w:rPr>
          <w:rFonts w:ascii="Times New Roman" w:hAnsi="Times New Roman" w:cs="Times New Roman"/>
          <w:color w:val="auto"/>
          <w:sz w:val="28"/>
          <w:szCs w:val="28"/>
        </w:rPr>
        <w:t>ценным</w:t>
      </w:r>
      <w:r w:rsidR="00FC530E">
        <w:rPr>
          <w:rFonts w:ascii="Times New Roman" w:hAnsi="Times New Roman" w:cs="Times New Roman"/>
          <w:color w:val="auto"/>
          <w:sz w:val="28"/>
          <w:szCs w:val="28"/>
        </w:rPr>
        <w:t xml:space="preserve"> источником. Исходя из этого, </w:t>
      </w:r>
      <w:r w:rsidR="006A14B3">
        <w:rPr>
          <w:rFonts w:ascii="Times New Roman" w:hAnsi="Times New Roman" w:cs="Times New Roman"/>
          <w:color w:val="auto"/>
          <w:sz w:val="28"/>
          <w:szCs w:val="28"/>
        </w:rPr>
        <w:t xml:space="preserve">было </w:t>
      </w:r>
      <w:r w:rsidR="00FC530E">
        <w:rPr>
          <w:rFonts w:ascii="Times New Roman" w:hAnsi="Times New Roman" w:cs="Times New Roman"/>
          <w:color w:val="auto"/>
          <w:sz w:val="28"/>
          <w:szCs w:val="28"/>
        </w:rPr>
        <w:t xml:space="preserve">решено </w:t>
      </w:r>
      <w:r w:rsidR="006A14B3">
        <w:rPr>
          <w:rFonts w:ascii="Times New Roman" w:hAnsi="Times New Roman" w:cs="Times New Roman"/>
          <w:color w:val="auto"/>
          <w:sz w:val="28"/>
          <w:szCs w:val="28"/>
        </w:rPr>
        <w:t>задействовать</w:t>
      </w:r>
      <w:r w:rsidR="00FC530E">
        <w:rPr>
          <w:rFonts w:ascii="Times New Roman" w:hAnsi="Times New Roman" w:cs="Times New Roman"/>
          <w:color w:val="auto"/>
          <w:sz w:val="28"/>
          <w:szCs w:val="28"/>
        </w:rPr>
        <w:t xml:space="preserve"> по небольшому числу учащихся, но из каждой школы го</w:t>
      </w:r>
      <w:r w:rsidR="006A14B3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="00FC530E">
        <w:rPr>
          <w:rFonts w:ascii="Times New Roman" w:hAnsi="Times New Roman" w:cs="Times New Roman"/>
          <w:color w:val="auto"/>
          <w:sz w:val="28"/>
          <w:szCs w:val="28"/>
        </w:rPr>
        <w:t>да.</w:t>
      </w:r>
    </w:p>
    <w:p w:rsidR="006A14B3" w:rsidRDefault="006A14B3" w:rsidP="003A794E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итогу мероприятия выдаются сертификаты и дипломы всем учащимся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общий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команду, с пофамильным списком), а также сопровождающим педагогам.</w:t>
      </w:r>
    </w:p>
    <w:p w:rsidR="00CB5E62" w:rsidRDefault="00921274" w:rsidP="003A794E">
      <w:pPr>
        <w:pStyle w:val="normal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2" w:history="1">
        <w:r w:rsidR="00CB5E62" w:rsidRPr="003B37EE">
          <w:rPr>
            <w:rStyle w:val="a6"/>
            <w:rFonts w:ascii="Times New Roman" w:hAnsi="Times New Roman" w:cs="Times New Roman"/>
            <w:sz w:val="28"/>
            <w:szCs w:val="28"/>
          </w:rPr>
          <w:t>Первое мероприятие</w:t>
        </w:r>
      </w:hyperlink>
      <w:r w:rsidR="00CB5E62">
        <w:rPr>
          <w:rFonts w:ascii="Times New Roman" w:hAnsi="Times New Roman" w:cs="Times New Roman"/>
          <w:color w:val="auto"/>
          <w:sz w:val="28"/>
          <w:szCs w:val="28"/>
        </w:rPr>
        <w:t xml:space="preserve"> данного формата про</w:t>
      </w:r>
      <w:r w:rsidR="0023284D">
        <w:rPr>
          <w:rFonts w:ascii="Times New Roman" w:hAnsi="Times New Roman" w:cs="Times New Roman"/>
          <w:color w:val="auto"/>
          <w:sz w:val="28"/>
          <w:szCs w:val="28"/>
        </w:rPr>
        <w:t>шло</w:t>
      </w:r>
      <w:r w:rsidR="00CB5E62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технопарка в сфере высоких технологий </w:t>
      </w:r>
      <w:hyperlink r:id="rId13" w:history="1">
        <w:r w:rsidR="00CB5E62" w:rsidRPr="003E014A">
          <w:rPr>
            <w:rStyle w:val="a6"/>
            <w:rFonts w:ascii="Times New Roman" w:hAnsi="Times New Roman" w:cs="Times New Roman"/>
            <w:sz w:val="28"/>
            <w:szCs w:val="28"/>
          </w:rPr>
          <w:t>«Жигулевская долина»</w:t>
        </w:r>
      </w:hyperlink>
      <w:r w:rsidR="00CB5E62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23284D">
        <w:rPr>
          <w:rFonts w:ascii="Times New Roman" w:hAnsi="Times New Roman" w:cs="Times New Roman"/>
          <w:color w:val="auto"/>
          <w:sz w:val="28"/>
          <w:szCs w:val="28"/>
        </w:rPr>
        <w:t>придало значительный статус мероприятию</w:t>
      </w:r>
      <w:r w:rsidR="00CB5E62">
        <w:rPr>
          <w:rFonts w:ascii="Times New Roman" w:hAnsi="Times New Roman" w:cs="Times New Roman"/>
          <w:color w:val="auto"/>
          <w:sz w:val="28"/>
          <w:szCs w:val="28"/>
        </w:rPr>
        <w:t>. Также, поддержка технопарка прида</w:t>
      </w:r>
      <w:r w:rsidR="0023284D">
        <w:rPr>
          <w:rFonts w:ascii="Times New Roman" w:hAnsi="Times New Roman" w:cs="Times New Roman"/>
          <w:color w:val="auto"/>
          <w:sz w:val="28"/>
          <w:szCs w:val="28"/>
        </w:rPr>
        <w:t>ла</w:t>
      </w:r>
      <w:r w:rsidR="00CB5E62">
        <w:rPr>
          <w:rFonts w:ascii="Times New Roman" w:hAnsi="Times New Roman" w:cs="Times New Roman"/>
          <w:color w:val="auto"/>
          <w:sz w:val="28"/>
          <w:szCs w:val="28"/>
        </w:rPr>
        <w:t xml:space="preserve"> Проекту дополнительную практическую ценность. </w:t>
      </w:r>
    </w:p>
    <w:p w:rsidR="005D7969" w:rsidRPr="00383F47" w:rsidRDefault="005D7969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16D" w:rsidRPr="00882EAF" w:rsidRDefault="008264F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EAF">
        <w:rPr>
          <w:rFonts w:ascii="Times New Roman" w:hAnsi="Times New Roman" w:cs="Times New Roman"/>
          <w:sz w:val="28"/>
          <w:szCs w:val="28"/>
        </w:rPr>
        <w:t xml:space="preserve">Примерный план проведения обучающей сессии: </w:t>
      </w:r>
    </w:p>
    <w:tbl>
      <w:tblPr>
        <w:tblStyle w:val="2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2340"/>
        <w:gridCol w:w="3150"/>
        <w:gridCol w:w="2895"/>
      </w:tblGrid>
      <w:tr w:rsidR="0003616D" w:rsidRPr="00383F47" w:rsidTr="005D7969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Активность и содержание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03616D" w:rsidRPr="00383F47" w:rsidTr="005D7969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5D7969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4F3" w:rsidRPr="00383F47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Установочное собрание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r w:rsidR="00E70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 w:rsidR="00E70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00 чел, оснащенный проектором, экраном, звуковоспроизводящим оборудованием</w:t>
            </w:r>
            <w:r w:rsidR="002328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3616D" w:rsidRPr="00383F47" w:rsidTr="005D7969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AF6C38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9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 xml:space="preserve"> минут (по </w:t>
            </w:r>
            <w:r w:rsidR="005D7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3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 xml:space="preserve"> минут на станцию + 5 минут переход)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станциям </w:t>
            </w:r>
            <w:r w:rsidR="00714054">
              <w:rPr>
                <w:rFonts w:ascii="Times New Roman" w:hAnsi="Times New Roman" w:cs="Times New Roman"/>
                <w:sz w:val="28"/>
                <w:szCs w:val="28"/>
              </w:rPr>
              <w:t xml:space="preserve">отраслей </w:t>
            </w: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7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84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616D" w:rsidRPr="00383F47" w:rsidRDefault="0003616D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16D" w:rsidRPr="00383F47" w:rsidRDefault="008264F3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r w:rsidR="00E10329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, маркеры, медали (наклейки)  для активных участников</w:t>
            </w:r>
          </w:p>
        </w:tc>
      </w:tr>
      <w:tr w:rsidR="005D7969" w:rsidRPr="00383F47" w:rsidTr="005D7969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969" w:rsidRPr="00383F47" w:rsidRDefault="00AF6C38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969" w:rsidRPr="00383F47" w:rsidRDefault="005D7969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969" w:rsidRPr="00383F47" w:rsidRDefault="005D7969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собрание (конечная станция) 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969" w:rsidRPr="00383F47" w:rsidRDefault="005D7969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  <w:p w:rsidR="005D7969" w:rsidRPr="00383F47" w:rsidRDefault="005D7969" w:rsidP="003A794E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3616D" w:rsidRPr="00383F47" w:rsidRDefault="0003616D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16D" w:rsidRPr="00383F47" w:rsidRDefault="008264F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b/>
          <w:sz w:val="28"/>
          <w:szCs w:val="28"/>
        </w:rPr>
        <w:t>1. Установочное собрание</w:t>
      </w:r>
    </w:p>
    <w:p w:rsidR="0003616D" w:rsidRPr="00383F47" w:rsidRDefault="008264F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47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AF6C38">
        <w:rPr>
          <w:rFonts w:ascii="Times New Roman" w:hAnsi="Times New Roman" w:cs="Times New Roman"/>
          <w:sz w:val="28"/>
          <w:szCs w:val="28"/>
        </w:rPr>
        <w:t>мотивационного характера</w:t>
      </w:r>
      <w:r w:rsidR="00E10329">
        <w:rPr>
          <w:rFonts w:ascii="Times New Roman" w:hAnsi="Times New Roman" w:cs="Times New Roman"/>
          <w:sz w:val="28"/>
          <w:szCs w:val="28"/>
        </w:rPr>
        <w:t xml:space="preserve"> (без докладов и выступлений)</w:t>
      </w:r>
    </w:p>
    <w:p w:rsidR="0003616D" w:rsidRPr="00383F47" w:rsidRDefault="008264F3" w:rsidP="003A794E">
      <w:pPr>
        <w:pStyle w:val="normal"/>
        <w:numPr>
          <w:ilvl w:val="0"/>
          <w:numId w:val="2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>История резких перемен при смене техноукладов</w:t>
      </w:r>
      <w:r w:rsidR="00E10329">
        <w:rPr>
          <w:rFonts w:ascii="Times New Roman" w:hAnsi="Times New Roman" w:cs="Times New Roman"/>
          <w:sz w:val="28"/>
          <w:szCs w:val="28"/>
        </w:rPr>
        <w:t>;</w:t>
      </w:r>
    </w:p>
    <w:p w:rsidR="0003616D" w:rsidRDefault="008264F3" w:rsidP="003A794E">
      <w:pPr>
        <w:pStyle w:val="normal"/>
        <w:numPr>
          <w:ilvl w:val="0"/>
          <w:numId w:val="2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>Ожидания на 20е-30е годы, возможности для реализации амбиций молодежи</w:t>
      </w:r>
      <w:r w:rsidR="00E10329">
        <w:rPr>
          <w:rFonts w:ascii="Times New Roman" w:hAnsi="Times New Roman" w:cs="Times New Roman"/>
          <w:sz w:val="28"/>
          <w:szCs w:val="28"/>
        </w:rPr>
        <w:t>;</w:t>
      </w:r>
    </w:p>
    <w:p w:rsidR="00E10329" w:rsidRPr="00383F47" w:rsidRDefault="00E10329" w:rsidP="003A794E">
      <w:pPr>
        <w:pStyle w:val="normal"/>
        <w:numPr>
          <w:ilvl w:val="0"/>
          <w:numId w:val="2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новых профессий как путеводитель.</w:t>
      </w:r>
    </w:p>
    <w:p w:rsidR="0003616D" w:rsidRPr="00383F47" w:rsidRDefault="008264F3" w:rsidP="00993E15">
      <w:pPr>
        <w:pStyle w:val="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b/>
          <w:sz w:val="28"/>
          <w:szCs w:val="28"/>
        </w:rPr>
        <w:br/>
      </w:r>
      <w:r w:rsidR="00E10329">
        <w:rPr>
          <w:rFonts w:ascii="Times New Roman" w:hAnsi="Times New Roman" w:cs="Times New Roman"/>
          <w:b/>
          <w:sz w:val="28"/>
          <w:szCs w:val="28"/>
        </w:rPr>
        <w:t>2</w:t>
      </w:r>
      <w:r w:rsidRPr="00383F47">
        <w:rPr>
          <w:rFonts w:ascii="Times New Roman" w:hAnsi="Times New Roman" w:cs="Times New Roman"/>
          <w:b/>
          <w:sz w:val="28"/>
          <w:szCs w:val="28"/>
        </w:rPr>
        <w:t>. Станции</w:t>
      </w:r>
      <w:r w:rsidR="00993E15">
        <w:rPr>
          <w:rFonts w:ascii="Times New Roman" w:hAnsi="Times New Roman" w:cs="Times New Roman"/>
          <w:b/>
          <w:sz w:val="28"/>
          <w:szCs w:val="28"/>
        </w:rPr>
        <w:t xml:space="preserve"> отраслей</w:t>
      </w:r>
    </w:p>
    <w:p w:rsidR="00993E15" w:rsidRDefault="00993E15" w:rsidP="00993E15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 xml:space="preserve">Участники группами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3F47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3F47">
        <w:rPr>
          <w:rFonts w:ascii="Times New Roman" w:hAnsi="Times New Roman" w:cs="Times New Roman"/>
          <w:sz w:val="28"/>
          <w:szCs w:val="28"/>
        </w:rPr>
        <w:t xml:space="preserve">0 человек (команды от школ по </w:t>
      </w:r>
      <w:r>
        <w:rPr>
          <w:rFonts w:ascii="Times New Roman" w:hAnsi="Times New Roman" w:cs="Times New Roman"/>
          <w:sz w:val="28"/>
          <w:szCs w:val="28"/>
        </w:rPr>
        <w:t>4-6</w:t>
      </w:r>
      <w:r w:rsidRPr="00383F47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+ отдельная группа педагогов</w:t>
      </w:r>
      <w:r w:rsidRPr="00383F47">
        <w:rPr>
          <w:rFonts w:ascii="Times New Roman" w:hAnsi="Times New Roman" w:cs="Times New Roman"/>
          <w:sz w:val="28"/>
          <w:szCs w:val="28"/>
        </w:rPr>
        <w:t>) переходят между локациями</w:t>
      </w:r>
      <w:r>
        <w:rPr>
          <w:rFonts w:ascii="Times New Roman" w:hAnsi="Times New Roman" w:cs="Times New Roman"/>
          <w:sz w:val="28"/>
          <w:szCs w:val="28"/>
        </w:rPr>
        <w:t xml:space="preserve"> («станциями»)</w:t>
      </w:r>
      <w:r w:rsidRPr="00383F47">
        <w:rPr>
          <w:rFonts w:ascii="Times New Roman" w:hAnsi="Times New Roman" w:cs="Times New Roman"/>
          <w:sz w:val="28"/>
          <w:szCs w:val="28"/>
        </w:rPr>
        <w:t xml:space="preserve">, время захода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3F47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03616D" w:rsidRPr="00383F47" w:rsidRDefault="006A14B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выбрано </w:t>
      </w:r>
      <w:r w:rsidR="005D7969">
        <w:rPr>
          <w:rFonts w:ascii="Times New Roman" w:hAnsi="Times New Roman" w:cs="Times New Roman"/>
          <w:sz w:val="28"/>
          <w:szCs w:val="28"/>
        </w:rPr>
        <w:t>4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 </w:t>
      </w:r>
      <w:r w:rsidR="00993E15">
        <w:rPr>
          <w:rFonts w:ascii="Times New Roman" w:hAnsi="Times New Roman" w:cs="Times New Roman"/>
          <w:sz w:val="28"/>
          <w:szCs w:val="28"/>
        </w:rPr>
        <w:t>отрасли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 из числа блоков Атласа. </w:t>
      </w:r>
    </w:p>
    <w:p w:rsidR="0003616D" w:rsidRPr="00383F47" w:rsidRDefault="00AF6C38" w:rsidP="003A794E">
      <w:pPr>
        <w:pStyle w:val="normal"/>
        <w:numPr>
          <w:ilvl w:val="0"/>
          <w:numId w:val="3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и строительство</w:t>
      </w:r>
      <w:r w:rsidR="008264F3">
        <w:rPr>
          <w:rFonts w:ascii="Times New Roman" w:hAnsi="Times New Roman" w:cs="Times New Roman"/>
          <w:sz w:val="28"/>
          <w:szCs w:val="28"/>
        </w:rPr>
        <w:t>;</w:t>
      </w:r>
    </w:p>
    <w:p w:rsidR="0003616D" w:rsidRPr="00383F47" w:rsidRDefault="005D7969" w:rsidP="003A794E">
      <w:pPr>
        <w:pStyle w:val="normal"/>
        <w:numPr>
          <w:ilvl w:val="0"/>
          <w:numId w:val="3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264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38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Робототехника</w:t>
      </w:r>
      <w:r w:rsidR="008264F3">
        <w:rPr>
          <w:rFonts w:ascii="Times New Roman" w:hAnsi="Times New Roman" w:cs="Times New Roman"/>
          <w:sz w:val="28"/>
          <w:szCs w:val="28"/>
        </w:rPr>
        <w:t>;</w:t>
      </w:r>
    </w:p>
    <w:p w:rsidR="0003616D" w:rsidRDefault="005D7969" w:rsidP="003A794E">
      <w:pPr>
        <w:pStyle w:val="normal"/>
        <w:numPr>
          <w:ilvl w:val="0"/>
          <w:numId w:val="3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:rsidR="005D7969" w:rsidRPr="00383F47" w:rsidRDefault="005D7969" w:rsidP="003A794E">
      <w:pPr>
        <w:pStyle w:val="normal"/>
        <w:numPr>
          <w:ilvl w:val="0"/>
          <w:numId w:val="3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Когнитивные и Биотехнологии</w:t>
      </w:r>
    </w:p>
    <w:p w:rsidR="0003616D" w:rsidRPr="00383F47" w:rsidRDefault="008264F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>Структура станции</w:t>
      </w:r>
    </w:p>
    <w:p w:rsidR="0003616D" w:rsidRPr="00383F47" w:rsidRDefault="008264F3" w:rsidP="003A794E">
      <w:pPr>
        <w:pStyle w:val="normal"/>
        <w:numPr>
          <w:ilvl w:val="0"/>
          <w:numId w:val="4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47">
        <w:rPr>
          <w:rFonts w:ascii="Times New Roman" w:hAnsi="Times New Roman" w:cs="Times New Roman"/>
          <w:sz w:val="28"/>
          <w:szCs w:val="28"/>
        </w:rPr>
        <w:t>Вводная</w:t>
      </w:r>
      <w:proofErr w:type="gramEnd"/>
      <w:r w:rsidRPr="00383F47">
        <w:rPr>
          <w:rFonts w:ascii="Times New Roman" w:hAnsi="Times New Roman" w:cs="Times New Roman"/>
          <w:sz w:val="28"/>
          <w:szCs w:val="28"/>
        </w:rPr>
        <w:t xml:space="preserve"> - обзор достижений и перспектив направления, примеры конкретных технологий будущего</w:t>
      </w:r>
      <w:r w:rsidR="004D396D">
        <w:rPr>
          <w:rFonts w:ascii="Times New Roman" w:hAnsi="Times New Roman" w:cs="Times New Roman"/>
          <w:sz w:val="28"/>
          <w:szCs w:val="28"/>
        </w:rPr>
        <w:t>;</w:t>
      </w:r>
    </w:p>
    <w:p w:rsidR="0003616D" w:rsidRPr="00383F47" w:rsidRDefault="004D396D" w:rsidP="003A794E">
      <w:pPr>
        <w:pStyle w:val="normal"/>
        <w:numPr>
          <w:ilvl w:val="0"/>
          <w:numId w:val="4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proofErr w:type="gramStart"/>
      <w:r w:rsidR="00714054">
        <w:rPr>
          <w:rFonts w:ascii="Times New Roman" w:hAnsi="Times New Roman" w:cs="Times New Roman"/>
          <w:sz w:val="28"/>
          <w:szCs w:val="28"/>
        </w:rPr>
        <w:t>экспресс</w:t>
      </w:r>
      <w:r>
        <w:rPr>
          <w:rFonts w:ascii="Times New Roman" w:hAnsi="Times New Roman" w:cs="Times New Roman"/>
          <w:sz w:val="28"/>
          <w:szCs w:val="28"/>
        </w:rPr>
        <w:t>-проектов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84D">
        <w:rPr>
          <w:rFonts w:ascii="Times New Roman" w:hAnsi="Times New Roman" w:cs="Times New Roman"/>
          <w:sz w:val="28"/>
          <w:szCs w:val="28"/>
        </w:rPr>
        <w:t xml:space="preserve">(проектных идей) </w:t>
      </w:r>
      <w:r>
        <w:rPr>
          <w:rFonts w:ascii="Times New Roman" w:hAnsi="Times New Roman" w:cs="Times New Roman"/>
          <w:sz w:val="28"/>
          <w:szCs w:val="28"/>
        </w:rPr>
        <w:t>на свободную тему средствами рассмотренных технологий;</w:t>
      </w:r>
    </w:p>
    <w:p w:rsidR="00E10329" w:rsidRPr="00934434" w:rsidRDefault="004D396D" w:rsidP="003A794E">
      <w:pPr>
        <w:pStyle w:val="normal"/>
        <w:numPr>
          <w:ilvl w:val="0"/>
          <w:numId w:val="4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проектов и </w:t>
      </w:r>
      <w:r w:rsidR="0023284D">
        <w:rPr>
          <w:rFonts w:ascii="Times New Roman" w:hAnsi="Times New Roman" w:cs="Times New Roman"/>
          <w:sz w:val="28"/>
          <w:szCs w:val="28"/>
        </w:rPr>
        <w:t>выделение интересных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434" w:rsidRDefault="00934434" w:rsidP="003A794E">
      <w:pPr>
        <w:pStyle w:val="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оборудование – афиши с указанием отдельных профессий из Атласа по соответствующей отрасли и перечнем профессиональных учебных заведений города и региона, где можно получить «базовое» образование.</w:t>
      </w:r>
    </w:p>
    <w:p w:rsidR="0023284D" w:rsidRDefault="0023284D" w:rsidP="003A794E">
      <w:pPr>
        <w:pStyle w:val="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конкретный станций обусловлен наличием «носителей» технологий, способных не прочитать нудную лекцию, а заинтересовать основными моментами, ключевыми возможностями, которые да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бл</w:t>
      </w:r>
      <w:proofErr w:type="gramEnd"/>
      <w:r>
        <w:rPr>
          <w:rFonts w:ascii="Times New Roman" w:hAnsi="Times New Roman" w:cs="Times New Roman"/>
          <w:sz w:val="28"/>
          <w:szCs w:val="28"/>
        </w:rPr>
        <w:t>ижайшем будущем данная технология.</w:t>
      </w:r>
    </w:p>
    <w:p w:rsidR="00934434" w:rsidRPr="00934434" w:rsidRDefault="00934434" w:rsidP="003A794E">
      <w:pPr>
        <w:pStyle w:val="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E15" w:rsidRPr="00993E15" w:rsidRDefault="0023284D" w:rsidP="003A794E">
      <w:pPr>
        <w:pStyle w:val="normal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2.1</w:t>
      </w:r>
      <w:r w:rsidR="00993E15" w:rsidRPr="00993E15">
        <w:rPr>
          <w:rFonts w:ascii="Times New Roman" w:hAnsi="Times New Roman" w:cs="Times New Roman"/>
          <w:b/>
          <w:sz w:val="28"/>
        </w:rPr>
        <w:t xml:space="preserve">. Станция </w:t>
      </w:r>
      <w:proofErr w:type="spellStart"/>
      <w:r w:rsidR="00993E15" w:rsidRPr="00993E15">
        <w:rPr>
          <w:rFonts w:ascii="Times New Roman" w:hAnsi="Times New Roman" w:cs="Times New Roman"/>
          <w:b/>
          <w:sz w:val="28"/>
          <w:szCs w:val="28"/>
        </w:rPr>
        <w:t>надпрофессионального</w:t>
      </w:r>
      <w:proofErr w:type="spellEnd"/>
      <w:r w:rsidR="00993E15" w:rsidRPr="00993E15">
        <w:rPr>
          <w:rFonts w:ascii="Times New Roman" w:hAnsi="Times New Roman" w:cs="Times New Roman"/>
          <w:b/>
          <w:sz w:val="28"/>
          <w:szCs w:val="28"/>
        </w:rPr>
        <w:t xml:space="preserve"> навыка</w:t>
      </w:r>
      <w:r w:rsidR="00993E15" w:rsidRPr="00993E15">
        <w:rPr>
          <w:rFonts w:ascii="Times New Roman" w:hAnsi="Times New Roman" w:cs="Times New Roman"/>
          <w:b/>
          <w:sz w:val="28"/>
        </w:rPr>
        <w:t xml:space="preserve">. </w:t>
      </w:r>
    </w:p>
    <w:p w:rsidR="0003616D" w:rsidRDefault="00993E15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</w:rPr>
      </w:pPr>
      <w:r w:rsidRPr="00993E15">
        <w:rPr>
          <w:rFonts w:ascii="Times New Roman" w:hAnsi="Times New Roman" w:cs="Times New Roman"/>
          <w:sz w:val="28"/>
        </w:rPr>
        <w:t xml:space="preserve">Необходимым элементом практически всех профессий, приведенных в Атласе, является </w:t>
      </w:r>
      <w:proofErr w:type="spellStart"/>
      <w:r w:rsidRPr="00993E15">
        <w:rPr>
          <w:rFonts w:ascii="Times New Roman" w:hAnsi="Times New Roman" w:cs="Times New Roman"/>
          <w:sz w:val="28"/>
        </w:rPr>
        <w:t>надпрофессиональный</w:t>
      </w:r>
      <w:proofErr w:type="spellEnd"/>
      <w:r w:rsidRPr="00993E15">
        <w:rPr>
          <w:rFonts w:ascii="Times New Roman" w:hAnsi="Times New Roman" w:cs="Times New Roman"/>
          <w:sz w:val="28"/>
        </w:rPr>
        <w:t xml:space="preserve"> навык системного мышления. Однако на данный момент данный навык не формируется ни массовой школой, ни массовыми профессиональными учебными заведениями. В качестве инструмента формирования такого мышления </w:t>
      </w:r>
      <w:r w:rsidR="0023284D">
        <w:rPr>
          <w:rFonts w:ascii="Times New Roman" w:hAnsi="Times New Roman" w:cs="Times New Roman"/>
          <w:sz w:val="28"/>
        </w:rPr>
        <w:t xml:space="preserve">рекомендуется организовать </w:t>
      </w:r>
      <w:r w:rsidR="0023284D" w:rsidRPr="00993E15">
        <w:rPr>
          <w:rFonts w:ascii="Times New Roman" w:hAnsi="Times New Roman" w:cs="Times New Roman"/>
          <w:sz w:val="28"/>
        </w:rPr>
        <w:t>экспресс-</w:t>
      </w:r>
      <w:r w:rsidR="0023284D">
        <w:rPr>
          <w:rFonts w:ascii="Times New Roman" w:hAnsi="Times New Roman" w:cs="Times New Roman"/>
          <w:sz w:val="28"/>
        </w:rPr>
        <w:t xml:space="preserve">тренинг по </w:t>
      </w:r>
      <w:r w:rsidRPr="00993E15">
        <w:rPr>
          <w:rFonts w:ascii="Times New Roman" w:hAnsi="Times New Roman" w:cs="Times New Roman"/>
          <w:sz w:val="28"/>
        </w:rPr>
        <w:t>методик</w:t>
      </w:r>
      <w:r w:rsidR="0023284D">
        <w:rPr>
          <w:rFonts w:ascii="Times New Roman" w:hAnsi="Times New Roman" w:cs="Times New Roman"/>
          <w:sz w:val="28"/>
        </w:rPr>
        <w:t>е</w:t>
      </w:r>
      <w:r w:rsidRPr="00993E15">
        <w:rPr>
          <w:rFonts w:ascii="Times New Roman" w:hAnsi="Times New Roman" w:cs="Times New Roman"/>
          <w:sz w:val="28"/>
        </w:rPr>
        <w:t xml:space="preserve"> ТРИЗ (теория решения изобретательских задач, построенная на решении «открытых» задач). </w:t>
      </w:r>
    </w:p>
    <w:p w:rsidR="00B74B94" w:rsidRPr="00993E15" w:rsidRDefault="00B74B94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ТРИЗ входит в образовательную программу федерального проекта «</w:t>
      </w:r>
      <w:proofErr w:type="spellStart"/>
      <w:r>
        <w:rPr>
          <w:rFonts w:ascii="Times New Roman" w:hAnsi="Times New Roman" w:cs="Times New Roman"/>
          <w:sz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</w:rPr>
        <w:t>», что подтверждает важность данной технологии для технического творчества.</w:t>
      </w:r>
    </w:p>
    <w:p w:rsidR="00993E15" w:rsidRPr="00383F47" w:rsidRDefault="00993E15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16D" w:rsidRPr="00383F47" w:rsidRDefault="00934434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64F3" w:rsidRPr="00383F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64F3" w:rsidRPr="00882EAF">
        <w:rPr>
          <w:rFonts w:ascii="Times New Roman" w:hAnsi="Times New Roman" w:cs="Times New Roman"/>
          <w:b/>
          <w:sz w:val="28"/>
          <w:szCs w:val="28"/>
        </w:rPr>
        <w:t>Итоговое собрание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E02" w:rsidRDefault="001F1E02" w:rsidP="003A794E">
      <w:pPr>
        <w:pStyle w:val="normal"/>
        <w:numPr>
          <w:ilvl w:val="0"/>
          <w:numId w:val="7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Приветствия официальных лиц;</w:t>
      </w:r>
    </w:p>
    <w:p w:rsidR="0003616D" w:rsidRDefault="006A14B3" w:rsidP="003A794E">
      <w:pPr>
        <w:pStyle w:val="normal"/>
        <w:numPr>
          <w:ilvl w:val="0"/>
          <w:numId w:val="7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83F47">
        <w:rPr>
          <w:rFonts w:ascii="Times New Roman" w:hAnsi="Times New Roman" w:cs="Times New Roman"/>
          <w:sz w:val="28"/>
          <w:szCs w:val="28"/>
        </w:rPr>
        <w:t xml:space="preserve">аграждение </w:t>
      </w:r>
      <w:r>
        <w:rPr>
          <w:rFonts w:ascii="Times New Roman" w:hAnsi="Times New Roman" w:cs="Times New Roman"/>
          <w:sz w:val="28"/>
          <w:szCs w:val="28"/>
        </w:rPr>
        <w:t>выделившихся команд</w:t>
      </w:r>
      <w:r w:rsidR="004D396D">
        <w:rPr>
          <w:rFonts w:ascii="Times New Roman" w:hAnsi="Times New Roman" w:cs="Times New Roman"/>
          <w:sz w:val="28"/>
          <w:szCs w:val="28"/>
        </w:rPr>
        <w:t>;</w:t>
      </w:r>
    </w:p>
    <w:p w:rsidR="004D396D" w:rsidRDefault="004D396D" w:rsidP="003A794E">
      <w:pPr>
        <w:pStyle w:val="normal"/>
        <w:numPr>
          <w:ilvl w:val="0"/>
          <w:numId w:val="7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возможностях </w:t>
      </w:r>
      <w:r w:rsidR="00AD2AC0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="006A14B3">
        <w:rPr>
          <w:rFonts w:ascii="Times New Roman" w:hAnsi="Times New Roman" w:cs="Times New Roman"/>
          <w:sz w:val="28"/>
          <w:szCs w:val="28"/>
        </w:rPr>
        <w:t xml:space="preserve"> в области перспективных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16D" w:rsidRPr="00383F47" w:rsidRDefault="0023284D" w:rsidP="003A794E">
      <w:pPr>
        <w:pStyle w:val="normal"/>
        <w:numPr>
          <w:ilvl w:val="0"/>
          <w:numId w:val="7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  <w:r w:rsidR="008264F3" w:rsidRPr="00383F47">
        <w:rPr>
          <w:rFonts w:ascii="Times New Roman" w:hAnsi="Times New Roman" w:cs="Times New Roman"/>
          <w:sz w:val="28"/>
          <w:szCs w:val="28"/>
        </w:rPr>
        <w:t xml:space="preserve"> конкурса проектов, представление перечня актуальных для города задач (проблем) в качестве </w:t>
      </w:r>
      <w:r w:rsidR="004D396D">
        <w:rPr>
          <w:rFonts w:ascii="Times New Roman" w:hAnsi="Times New Roman" w:cs="Times New Roman"/>
          <w:sz w:val="28"/>
          <w:szCs w:val="28"/>
        </w:rPr>
        <w:t>кейсов.</w:t>
      </w:r>
    </w:p>
    <w:p w:rsidR="00DD70C3" w:rsidRDefault="00DD70C3" w:rsidP="003A794E">
      <w:pPr>
        <w:pStyle w:val="normal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B56" w:rsidRPr="00383F47" w:rsidRDefault="001A0B56" w:rsidP="003A794E">
      <w:pPr>
        <w:pStyle w:val="normal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2EAF" w:rsidRPr="00882EAF" w:rsidRDefault="00882EAF" w:rsidP="003A794E">
      <w:pPr>
        <w:pStyle w:val="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ЭС"/>
      <w:r w:rsidRPr="00882EAF">
        <w:rPr>
          <w:rFonts w:ascii="Times New Roman" w:hAnsi="Times New Roman" w:cs="Times New Roman"/>
          <w:b/>
          <w:sz w:val="28"/>
          <w:szCs w:val="28"/>
        </w:rPr>
        <w:t>Экспертные сессии для педагогов и родителей.</w:t>
      </w:r>
    </w:p>
    <w:bookmarkEnd w:id="2"/>
    <w:p w:rsidR="00882EAF" w:rsidRDefault="00DD70C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данного формата мероприятий является снятие существующего «протеста» в среде педагогического состава, а также среди родителей, в отношении нетрадиционных технологий. Данный протест выражается в виде пропаганды «надежных» профессий, спрос на которые гарантирован жизненным опытом данных людей. Взрослые и состоявшиеся люди, как и подростки, нуждаются в разъяснениях по поводу неизбежности предстоящих перемен, а также необходимости делать взвешенный выбор будущей профессии на основе данной информации.</w:t>
      </w:r>
    </w:p>
    <w:p w:rsidR="002A1C59" w:rsidRDefault="00566A7F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Второй, не менее значимой целью</w:t>
      </w:r>
      <w:r w:rsidR="00307B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актуализация знаний тех педагогов и родителей, которые изначально не настроены скептически, но не обладают достаточными знаниями, чтобы помочь детям сориентироваться в динамично меняющемся мире.</w:t>
      </w:r>
    </w:p>
    <w:p w:rsidR="00DD70C3" w:rsidRDefault="00DD70C3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Организационно, данные сессии </w:t>
      </w:r>
      <w:r w:rsidR="00D33BF9">
        <w:rPr>
          <w:rFonts w:ascii="Times New Roman" w:hAnsi="Times New Roman" w:cs="Times New Roman"/>
          <w:sz w:val="28"/>
          <w:szCs w:val="28"/>
        </w:rPr>
        <w:t>построены так</w:t>
      </w:r>
      <w:r w:rsidR="005D1BF3">
        <w:rPr>
          <w:rFonts w:ascii="Times New Roman" w:hAnsi="Times New Roman" w:cs="Times New Roman"/>
          <w:sz w:val="28"/>
          <w:szCs w:val="28"/>
        </w:rPr>
        <w:t xml:space="preserve"> </w:t>
      </w:r>
      <w:r w:rsidR="00D33BF9">
        <w:rPr>
          <w:rFonts w:ascii="Times New Roman" w:hAnsi="Times New Roman" w:cs="Times New Roman"/>
          <w:sz w:val="28"/>
          <w:szCs w:val="28"/>
        </w:rPr>
        <w:t xml:space="preserve">же, как и обучающие для подростков, однако аудитория задействуется как экспертное сообщество. Проходя через все этапы ученической сессии, педагоги и родители заполняют специальные опросные листы, выражая свое мнение по поводу </w:t>
      </w:r>
      <w:proofErr w:type="gramStart"/>
      <w:r w:rsidR="00D33BF9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D33BF9">
        <w:rPr>
          <w:rFonts w:ascii="Times New Roman" w:hAnsi="Times New Roman" w:cs="Times New Roman"/>
          <w:sz w:val="28"/>
          <w:szCs w:val="28"/>
        </w:rPr>
        <w:t>. Ключевыми вопросами являются:</w:t>
      </w:r>
    </w:p>
    <w:p w:rsidR="00D33BF9" w:rsidRDefault="00D33BF9" w:rsidP="003A794E">
      <w:pPr>
        <w:pStyle w:val="normal"/>
        <w:numPr>
          <w:ilvl w:val="0"/>
          <w:numId w:val="9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из увиденного Вы считаете полезным для Вашего ребенка/Ваших учеников?</w:t>
      </w:r>
    </w:p>
    <w:p w:rsidR="00D33BF9" w:rsidRDefault="00D33BF9" w:rsidP="003A794E">
      <w:pPr>
        <w:pStyle w:val="normal"/>
        <w:numPr>
          <w:ilvl w:val="0"/>
          <w:numId w:val="9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использовать в </w:t>
      </w:r>
      <w:r w:rsidR="005D1BF3">
        <w:rPr>
          <w:rFonts w:ascii="Times New Roman" w:hAnsi="Times New Roman" w:cs="Times New Roman"/>
          <w:sz w:val="28"/>
          <w:szCs w:val="28"/>
        </w:rPr>
        <w:t>общении с Вашим ребенком /</w:t>
      </w:r>
      <w:r>
        <w:rPr>
          <w:rFonts w:ascii="Times New Roman" w:hAnsi="Times New Roman" w:cs="Times New Roman"/>
          <w:sz w:val="28"/>
          <w:szCs w:val="28"/>
        </w:rPr>
        <w:t>Вашей повседневной работе с детьми?</w:t>
      </w:r>
    </w:p>
    <w:p w:rsidR="00D33BF9" w:rsidRDefault="00D33BF9" w:rsidP="003A794E">
      <w:pPr>
        <w:pStyle w:val="normal"/>
        <w:numPr>
          <w:ilvl w:val="0"/>
          <w:numId w:val="9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Вы предложили изменить/дополнить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33BF9" w:rsidRPr="00882EAF" w:rsidRDefault="00D33BF9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вопросов формирует позитивное и конструктивное отношение к тематике мероприятия, способствуя достижению долгосрочных эффектов профориентации учащихся, связанных с данными педагогами и родителями.</w:t>
      </w:r>
    </w:p>
    <w:p w:rsidR="00882EAF" w:rsidRPr="00882EAF" w:rsidRDefault="00882EAF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0A37" w:rsidRPr="003A0A37" w:rsidRDefault="003A0A37" w:rsidP="003A794E">
      <w:pPr>
        <w:pStyle w:val="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ТМ"/>
      <w:r w:rsidRPr="003A0A37">
        <w:rPr>
          <w:rFonts w:ascii="Times New Roman" w:hAnsi="Times New Roman" w:cs="Times New Roman"/>
          <w:b/>
          <w:sz w:val="28"/>
          <w:szCs w:val="28"/>
        </w:rPr>
        <w:t>Тематические мероприятия в течение года</w:t>
      </w:r>
    </w:p>
    <w:bookmarkEnd w:id="3"/>
    <w:p w:rsidR="003A0A37" w:rsidRDefault="003A0A37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Событийное поле любого города насыщено мероприятиями, прямо или косвенно связанными с выбором учащимися будущих профессий. Сюда можно отнести не только «ярмарки профессий», но и вообще любые мероприятия, направленные на молодежь. Это создает обширное поле для разработки уникальных форматов профориентационных мероприятий.</w:t>
      </w:r>
    </w:p>
    <w:p w:rsidR="0023284D" w:rsidRDefault="00952B5A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84D">
        <w:rPr>
          <w:rFonts w:ascii="Times New Roman" w:hAnsi="Times New Roman" w:cs="Times New Roman"/>
          <w:sz w:val="28"/>
          <w:szCs w:val="28"/>
        </w:rPr>
        <w:t xml:space="preserve"> Тольятти в 2016 году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="0023284D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на которых были проведены отдельные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посвященные Атласу новых профессий:</w:t>
      </w:r>
    </w:p>
    <w:p w:rsidR="003A0A37" w:rsidRDefault="00921274" w:rsidP="003A794E">
      <w:pPr>
        <w:pStyle w:val="normal"/>
        <w:numPr>
          <w:ilvl w:val="0"/>
          <w:numId w:val="1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0A37" w:rsidRPr="00B739CB">
          <w:rPr>
            <w:rStyle w:val="a6"/>
            <w:rFonts w:ascii="Times New Roman" w:hAnsi="Times New Roman" w:cs="Times New Roman"/>
            <w:sz w:val="28"/>
            <w:szCs w:val="28"/>
          </w:rPr>
          <w:t>Ярмарка профессий</w:t>
        </w:r>
      </w:hyperlink>
      <w:r w:rsidR="003A0A37">
        <w:rPr>
          <w:rFonts w:ascii="Times New Roman" w:hAnsi="Times New Roman" w:cs="Times New Roman"/>
          <w:sz w:val="28"/>
          <w:szCs w:val="28"/>
        </w:rPr>
        <w:t>. В ра</w:t>
      </w:r>
      <w:r w:rsidR="00CB5E62">
        <w:rPr>
          <w:rFonts w:ascii="Times New Roman" w:hAnsi="Times New Roman" w:cs="Times New Roman"/>
          <w:sz w:val="28"/>
          <w:szCs w:val="28"/>
        </w:rPr>
        <w:t>м</w:t>
      </w:r>
      <w:r w:rsidR="003A0A37">
        <w:rPr>
          <w:rFonts w:ascii="Times New Roman" w:hAnsi="Times New Roman" w:cs="Times New Roman"/>
          <w:sz w:val="28"/>
          <w:szCs w:val="28"/>
        </w:rPr>
        <w:t xml:space="preserve">ках данного мероприятия </w:t>
      </w:r>
      <w:r w:rsidR="00952B5A">
        <w:rPr>
          <w:rFonts w:ascii="Times New Roman" w:hAnsi="Times New Roman" w:cs="Times New Roman"/>
          <w:sz w:val="28"/>
          <w:szCs w:val="28"/>
        </w:rPr>
        <w:t>было организовано ассоциированное мероприятие «Ярмарка профессий будущего», на котором были представлены стенды с информацией из Атласа новых профессий с указанием соответствующих учебных заведений города и региона. В целом на данном мероприятии</w:t>
      </w:r>
      <w:r w:rsidR="003A0A37">
        <w:rPr>
          <w:rFonts w:ascii="Times New Roman" w:hAnsi="Times New Roman" w:cs="Times New Roman"/>
          <w:sz w:val="28"/>
          <w:szCs w:val="28"/>
        </w:rPr>
        <w:t xml:space="preserve"> </w:t>
      </w:r>
      <w:r w:rsidR="00B739CB">
        <w:rPr>
          <w:rFonts w:ascii="Times New Roman" w:hAnsi="Times New Roman" w:cs="Times New Roman"/>
          <w:sz w:val="28"/>
          <w:szCs w:val="28"/>
        </w:rPr>
        <w:t>акцентирова</w:t>
      </w:r>
      <w:r w:rsidR="00952B5A">
        <w:rPr>
          <w:rFonts w:ascii="Times New Roman" w:hAnsi="Times New Roman" w:cs="Times New Roman"/>
          <w:sz w:val="28"/>
          <w:szCs w:val="28"/>
        </w:rPr>
        <w:t>лось</w:t>
      </w:r>
      <w:r w:rsidR="00B739CB">
        <w:rPr>
          <w:rFonts w:ascii="Times New Roman" w:hAnsi="Times New Roman" w:cs="Times New Roman"/>
          <w:sz w:val="28"/>
          <w:szCs w:val="28"/>
        </w:rPr>
        <w:t xml:space="preserve"> внимание </w:t>
      </w:r>
      <w:proofErr w:type="gramStart"/>
      <w:r w:rsidR="00B739CB">
        <w:rPr>
          <w:rFonts w:ascii="Times New Roman" w:hAnsi="Times New Roman" w:cs="Times New Roman"/>
          <w:sz w:val="28"/>
          <w:szCs w:val="28"/>
        </w:rPr>
        <w:t>на</w:t>
      </w:r>
      <w:r w:rsidR="003A0A37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End"/>
      <w:r w:rsidR="003A0A37">
        <w:rPr>
          <w:rFonts w:ascii="Times New Roman" w:hAnsi="Times New Roman" w:cs="Times New Roman"/>
          <w:sz w:val="28"/>
          <w:szCs w:val="28"/>
        </w:rPr>
        <w:t xml:space="preserve"> профессии, которые соответствуют «профессиям будущего» из Атласа. </w:t>
      </w:r>
      <w:r w:rsidR="00952B5A">
        <w:rPr>
          <w:rFonts w:ascii="Times New Roman" w:hAnsi="Times New Roman" w:cs="Times New Roman"/>
          <w:sz w:val="28"/>
          <w:szCs w:val="28"/>
        </w:rPr>
        <w:t>Был подготовлен</w:t>
      </w:r>
      <w:r w:rsidR="003A0A37">
        <w:rPr>
          <w:rFonts w:ascii="Times New Roman" w:hAnsi="Times New Roman" w:cs="Times New Roman"/>
          <w:sz w:val="28"/>
          <w:szCs w:val="28"/>
        </w:rPr>
        <w:t xml:space="preserve"> перечень образовательных программ, которые можно считать «базовыми» для таких профессий. </w:t>
      </w:r>
    </w:p>
    <w:p w:rsidR="00CB5E62" w:rsidRPr="000E3B5A" w:rsidRDefault="00921274" w:rsidP="003A794E">
      <w:pPr>
        <w:pStyle w:val="normal"/>
        <w:numPr>
          <w:ilvl w:val="0"/>
          <w:numId w:val="1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B5E62" w:rsidRPr="00B739CB">
          <w:rPr>
            <w:rStyle w:val="a6"/>
            <w:rFonts w:ascii="Times New Roman" w:hAnsi="Times New Roman" w:cs="Times New Roman"/>
            <w:sz w:val="28"/>
            <w:szCs w:val="28"/>
          </w:rPr>
          <w:t xml:space="preserve">Всероссийский </w:t>
        </w:r>
        <w:proofErr w:type="spellStart"/>
        <w:r w:rsidR="00CB5E62" w:rsidRPr="00B739CB">
          <w:rPr>
            <w:rStyle w:val="a6"/>
            <w:rFonts w:ascii="Times New Roman" w:hAnsi="Times New Roman" w:cs="Times New Roman"/>
            <w:sz w:val="28"/>
            <w:szCs w:val="28"/>
          </w:rPr>
          <w:t>Стартап-Тур</w:t>
        </w:r>
        <w:proofErr w:type="spellEnd"/>
        <w:r w:rsidR="00CB5E62" w:rsidRPr="00B739CB">
          <w:rPr>
            <w:rStyle w:val="a6"/>
            <w:rFonts w:ascii="Times New Roman" w:hAnsi="Times New Roman" w:cs="Times New Roman"/>
            <w:sz w:val="28"/>
            <w:szCs w:val="28"/>
          </w:rPr>
          <w:t xml:space="preserve"> 2016</w:t>
        </w:r>
      </w:hyperlink>
      <w:r w:rsidR="00CB5E62" w:rsidRPr="000E3B5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CB5E62" w:rsidRPr="000E3B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5E62" w:rsidRPr="000E3B5A">
        <w:rPr>
          <w:rFonts w:ascii="Times New Roman" w:hAnsi="Times New Roman" w:cs="Times New Roman"/>
          <w:sz w:val="28"/>
          <w:szCs w:val="28"/>
        </w:rPr>
        <w:t xml:space="preserve">.о. Тольятти. Данное мероприятие </w:t>
      </w:r>
      <w:r w:rsidR="00952B5A">
        <w:rPr>
          <w:rFonts w:ascii="Times New Roman" w:hAnsi="Times New Roman" w:cs="Times New Roman"/>
          <w:sz w:val="28"/>
          <w:szCs w:val="28"/>
        </w:rPr>
        <w:t>прошло</w:t>
      </w:r>
      <w:r w:rsidR="00CB5E62" w:rsidRPr="000E3B5A">
        <w:rPr>
          <w:rFonts w:ascii="Times New Roman" w:hAnsi="Times New Roman" w:cs="Times New Roman"/>
          <w:sz w:val="28"/>
          <w:szCs w:val="28"/>
        </w:rPr>
        <w:t xml:space="preserve"> 18-19 апреля 2016 года на территории технопарка в сфере высоких технологий «Жигулевская долина». </w:t>
      </w:r>
      <w:r w:rsidR="00952B5A">
        <w:rPr>
          <w:rFonts w:ascii="Times New Roman" w:hAnsi="Times New Roman" w:cs="Times New Roman"/>
          <w:sz w:val="28"/>
          <w:szCs w:val="28"/>
        </w:rPr>
        <w:t xml:space="preserve">На </w:t>
      </w:r>
      <w:r w:rsidR="00CB5E62" w:rsidRPr="000E3B5A">
        <w:rPr>
          <w:rFonts w:ascii="Times New Roman" w:hAnsi="Times New Roman" w:cs="Times New Roman"/>
          <w:sz w:val="28"/>
          <w:szCs w:val="28"/>
        </w:rPr>
        <w:t>данно</w:t>
      </w:r>
      <w:r w:rsidR="00952B5A">
        <w:rPr>
          <w:rFonts w:ascii="Times New Roman" w:hAnsi="Times New Roman" w:cs="Times New Roman"/>
          <w:sz w:val="28"/>
          <w:szCs w:val="28"/>
        </w:rPr>
        <w:t>е</w:t>
      </w:r>
      <w:r w:rsidR="00CB5E62" w:rsidRPr="000E3B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52B5A">
        <w:rPr>
          <w:rFonts w:ascii="Times New Roman" w:hAnsi="Times New Roman" w:cs="Times New Roman"/>
          <w:sz w:val="28"/>
          <w:szCs w:val="28"/>
        </w:rPr>
        <w:t>е</w:t>
      </w:r>
      <w:r w:rsidR="00CB5E62" w:rsidRPr="000E3B5A">
        <w:rPr>
          <w:rFonts w:ascii="Times New Roman" w:hAnsi="Times New Roman" w:cs="Times New Roman"/>
          <w:sz w:val="28"/>
          <w:szCs w:val="28"/>
        </w:rPr>
        <w:t xml:space="preserve"> </w:t>
      </w:r>
      <w:r w:rsidR="00952B5A">
        <w:rPr>
          <w:rFonts w:ascii="Times New Roman" w:hAnsi="Times New Roman" w:cs="Times New Roman"/>
          <w:sz w:val="28"/>
          <w:szCs w:val="28"/>
        </w:rPr>
        <w:t>были приглашены</w:t>
      </w:r>
      <w:r w:rsidR="000E3B5A" w:rsidRPr="000E3B5A">
        <w:rPr>
          <w:rFonts w:ascii="Times New Roman" w:hAnsi="Times New Roman" w:cs="Times New Roman"/>
          <w:sz w:val="28"/>
          <w:szCs w:val="28"/>
        </w:rPr>
        <w:t xml:space="preserve"> учащиеся, выделившиеся в ходе ученических сессий. Это позволи</w:t>
      </w:r>
      <w:r w:rsidR="00952B5A">
        <w:rPr>
          <w:rFonts w:ascii="Times New Roman" w:hAnsi="Times New Roman" w:cs="Times New Roman"/>
          <w:sz w:val="28"/>
          <w:szCs w:val="28"/>
        </w:rPr>
        <w:t>ло</w:t>
      </w:r>
      <w:r w:rsidR="000E3B5A" w:rsidRPr="000E3B5A">
        <w:rPr>
          <w:rFonts w:ascii="Times New Roman" w:hAnsi="Times New Roman" w:cs="Times New Roman"/>
          <w:sz w:val="28"/>
          <w:szCs w:val="28"/>
        </w:rPr>
        <w:t xml:space="preserve"> им окунуться в атмосферу инновационной деятельности, наладить возможные контакты и, возможно, определиться со своей собственной будущей деятельностью.</w:t>
      </w:r>
    </w:p>
    <w:p w:rsidR="00CB5E62" w:rsidRDefault="00921274" w:rsidP="003A794E">
      <w:pPr>
        <w:pStyle w:val="normal"/>
        <w:numPr>
          <w:ilvl w:val="0"/>
          <w:numId w:val="1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B5E62" w:rsidRPr="00B739CB">
          <w:rPr>
            <w:rStyle w:val="a6"/>
            <w:rFonts w:ascii="Times New Roman" w:hAnsi="Times New Roman" w:cs="Times New Roman"/>
            <w:sz w:val="28"/>
            <w:szCs w:val="28"/>
          </w:rPr>
          <w:t>Летний лагерь «</w:t>
        </w:r>
        <w:proofErr w:type="spellStart"/>
        <w:r w:rsidR="00CB5E62" w:rsidRPr="00B739CB">
          <w:rPr>
            <w:rStyle w:val="a6"/>
            <w:rFonts w:ascii="Times New Roman" w:hAnsi="Times New Roman" w:cs="Times New Roman"/>
            <w:sz w:val="28"/>
            <w:szCs w:val="28"/>
          </w:rPr>
          <w:t>Наноград</w:t>
        </w:r>
        <w:proofErr w:type="spellEnd"/>
        <w:r w:rsidR="00CB5E62" w:rsidRPr="00B739CB">
          <w:rPr>
            <w:rStyle w:val="a6"/>
            <w:rFonts w:ascii="Times New Roman" w:hAnsi="Times New Roman" w:cs="Times New Roman"/>
            <w:sz w:val="28"/>
            <w:szCs w:val="28"/>
          </w:rPr>
          <w:t>»</w:t>
        </w:r>
      </w:hyperlink>
      <w:r w:rsidR="00CB5E62">
        <w:rPr>
          <w:rFonts w:ascii="Times New Roman" w:hAnsi="Times New Roman" w:cs="Times New Roman"/>
          <w:sz w:val="28"/>
          <w:szCs w:val="28"/>
        </w:rPr>
        <w:t xml:space="preserve">. Данное мероприятие изначально направлено на профориентацию учащихся на перспективные профессии и технологии. В рамках данного мероприятия </w:t>
      </w:r>
      <w:r w:rsidR="00952B5A">
        <w:rPr>
          <w:rFonts w:ascii="Times New Roman" w:hAnsi="Times New Roman" w:cs="Times New Roman"/>
          <w:sz w:val="28"/>
          <w:szCs w:val="28"/>
        </w:rPr>
        <w:t xml:space="preserve">предполагалось </w:t>
      </w:r>
      <w:r w:rsidR="00CE2138">
        <w:rPr>
          <w:rFonts w:ascii="Times New Roman" w:hAnsi="Times New Roman" w:cs="Times New Roman"/>
          <w:sz w:val="28"/>
          <w:szCs w:val="28"/>
        </w:rPr>
        <w:t xml:space="preserve">в первый день </w:t>
      </w:r>
      <w:r w:rsidR="00CB5E62">
        <w:rPr>
          <w:rFonts w:ascii="Times New Roman" w:hAnsi="Times New Roman" w:cs="Times New Roman"/>
          <w:sz w:val="28"/>
          <w:szCs w:val="28"/>
        </w:rPr>
        <w:t xml:space="preserve">провести отдельную </w:t>
      </w:r>
      <w:r w:rsidR="00CB5E62">
        <w:rPr>
          <w:rFonts w:ascii="Times New Roman" w:hAnsi="Times New Roman" w:cs="Times New Roman"/>
          <w:sz w:val="28"/>
          <w:szCs w:val="28"/>
        </w:rPr>
        <w:lastRenderedPageBreak/>
        <w:t xml:space="preserve">обучающую сессию для </w:t>
      </w:r>
      <w:r w:rsidR="00CE2138">
        <w:rPr>
          <w:rFonts w:ascii="Times New Roman" w:hAnsi="Times New Roman" w:cs="Times New Roman"/>
          <w:sz w:val="28"/>
          <w:szCs w:val="28"/>
        </w:rPr>
        <w:t xml:space="preserve">формирования системного взгляда на перспективные технологии, </w:t>
      </w:r>
      <w:r w:rsidR="00CB5E62">
        <w:rPr>
          <w:rFonts w:ascii="Times New Roman" w:hAnsi="Times New Roman" w:cs="Times New Roman"/>
          <w:sz w:val="28"/>
          <w:szCs w:val="28"/>
        </w:rPr>
        <w:t>продвижения Атласа новых профессий, а также иллюстрации стремительности грядущих перемен.</w:t>
      </w:r>
      <w:r w:rsidR="00E4799B">
        <w:rPr>
          <w:rFonts w:ascii="Times New Roman" w:hAnsi="Times New Roman" w:cs="Times New Roman"/>
          <w:sz w:val="28"/>
          <w:szCs w:val="28"/>
        </w:rPr>
        <w:t xml:space="preserve"> Дополнительный эффект от мероприятия </w:t>
      </w:r>
      <w:r w:rsidR="00952B5A">
        <w:rPr>
          <w:rFonts w:ascii="Times New Roman" w:hAnsi="Times New Roman" w:cs="Times New Roman"/>
          <w:sz w:val="28"/>
          <w:szCs w:val="28"/>
        </w:rPr>
        <w:t>ожидался</w:t>
      </w:r>
      <w:r w:rsidR="00E4799B">
        <w:rPr>
          <w:rFonts w:ascii="Times New Roman" w:hAnsi="Times New Roman" w:cs="Times New Roman"/>
          <w:sz w:val="28"/>
          <w:szCs w:val="28"/>
        </w:rPr>
        <w:t xml:space="preserve"> в виде активизации внимания учащихся на решении прикладных задач развития конкретной территории (города Тольятти, Самарской области) методами инновационных технологий</w:t>
      </w:r>
      <w:r w:rsidR="00CE2138">
        <w:rPr>
          <w:rFonts w:ascii="Times New Roman" w:hAnsi="Times New Roman" w:cs="Times New Roman"/>
          <w:sz w:val="28"/>
          <w:szCs w:val="28"/>
        </w:rPr>
        <w:t>, что позволит увести участников с абстрактного теоретизирования в практическую плоскость</w:t>
      </w:r>
      <w:r w:rsidR="00E4799B">
        <w:rPr>
          <w:rFonts w:ascii="Times New Roman" w:hAnsi="Times New Roman" w:cs="Times New Roman"/>
          <w:sz w:val="28"/>
          <w:szCs w:val="28"/>
        </w:rPr>
        <w:t>.</w:t>
      </w:r>
    </w:p>
    <w:p w:rsidR="003A0A37" w:rsidRPr="003A0A37" w:rsidRDefault="003A0A37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2B94" w:rsidRPr="00702B94" w:rsidRDefault="00702B94" w:rsidP="003A794E">
      <w:pPr>
        <w:pStyle w:val="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ШМ"/>
      <w:bookmarkStart w:id="5" w:name="АК"/>
      <w:r w:rsidRPr="00702B94">
        <w:rPr>
          <w:rFonts w:ascii="Times New Roman" w:hAnsi="Times New Roman" w:cs="Times New Roman"/>
          <w:b/>
          <w:sz w:val="28"/>
          <w:szCs w:val="28"/>
        </w:rPr>
        <w:t>Внутришкольные мероприятия</w:t>
      </w:r>
      <w:bookmarkEnd w:id="4"/>
      <w:r w:rsidRPr="00702B94">
        <w:rPr>
          <w:rFonts w:ascii="Times New Roman" w:hAnsi="Times New Roman" w:cs="Times New Roman"/>
          <w:b/>
          <w:sz w:val="28"/>
          <w:szCs w:val="28"/>
        </w:rPr>
        <w:t>.</w:t>
      </w:r>
    </w:p>
    <w:p w:rsidR="00702B94" w:rsidRPr="00702B94" w:rsidRDefault="00505EA4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по разработке ученических проектов </w:t>
      </w:r>
      <w:r w:rsidR="00B74B94">
        <w:rPr>
          <w:rFonts w:ascii="Times New Roman" w:hAnsi="Times New Roman" w:cs="Times New Roman"/>
          <w:sz w:val="28"/>
          <w:szCs w:val="28"/>
        </w:rPr>
        <w:t>в рамках освоения курса «Основы проектной деятельности» становятся</w:t>
      </w:r>
      <w:r>
        <w:rPr>
          <w:rFonts w:ascii="Times New Roman" w:hAnsi="Times New Roman" w:cs="Times New Roman"/>
          <w:sz w:val="28"/>
          <w:szCs w:val="28"/>
        </w:rPr>
        <w:t xml:space="preserve"> первым этапом конкурса «Взлёт», что задает технологическую специфику детских проектов. В процессе подготовки проектов дети не только погружаются в технологии будущего, но и получают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эффект: в случае если какая-то технология заинтересует ребенка, он может сделать выбор в сторону будущей профессии.</w:t>
      </w:r>
    </w:p>
    <w:p w:rsidR="00702B94" w:rsidRDefault="00702B94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B56" w:rsidRPr="00702B94" w:rsidRDefault="001A0B56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16D" w:rsidRPr="00383F47" w:rsidRDefault="00B74B94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264F3" w:rsidRPr="00383F47">
        <w:rPr>
          <w:rFonts w:ascii="Times New Roman" w:hAnsi="Times New Roman" w:cs="Times New Roman"/>
          <w:b/>
          <w:sz w:val="28"/>
          <w:szCs w:val="28"/>
        </w:rPr>
        <w:t>онкурс инновационных проектов</w:t>
      </w:r>
    </w:p>
    <w:bookmarkEnd w:id="5"/>
    <w:p w:rsidR="00893619" w:rsidRDefault="00AF6C38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реализуемого комплекса мероприятий </w:t>
      </w:r>
      <w:r w:rsidR="0037266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93619">
        <w:rPr>
          <w:rFonts w:ascii="Times New Roman" w:hAnsi="Times New Roman" w:cs="Times New Roman"/>
          <w:sz w:val="28"/>
          <w:szCs w:val="28"/>
        </w:rPr>
        <w:t>организовать конкурс проектов, которые будут разрабатываться учащимися на основе тех высоких технологий, которые перечислены в Атласе.</w:t>
      </w:r>
    </w:p>
    <w:p w:rsidR="00AF6C38" w:rsidRPr="00383F47" w:rsidRDefault="00AF6C38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Кейсы к решению в рамках данного конкурса </w:t>
      </w:r>
      <w:r w:rsidR="00893619">
        <w:rPr>
          <w:rFonts w:ascii="Times New Roman" w:hAnsi="Times New Roman" w:cs="Times New Roman"/>
          <w:sz w:val="28"/>
          <w:szCs w:val="28"/>
        </w:rPr>
        <w:t>желательно</w:t>
      </w:r>
      <w:r>
        <w:rPr>
          <w:rFonts w:ascii="Times New Roman" w:hAnsi="Times New Roman" w:cs="Times New Roman"/>
          <w:sz w:val="28"/>
          <w:szCs w:val="28"/>
        </w:rPr>
        <w:t xml:space="preserve"> задавать перечнями актуальных задач развития города</w:t>
      </w:r>
      <w:r w:rsidRPr="00383F47">
        <w:rPr>
          <w:rFonts w:ascii="Times New Roman" w:hAnsi="Times New Roman" w:cs="Times New Roman"/>
          <w:sz w:val="28"/>
          <w:szCs w:val="28"/>
        </w:rPr>
        <w:t xml:space="preserve"> (</w:t>
      </w:r>
      <w:r w:rsidR="00893619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383F47">
        <w:rPr>
          <w:rFonts w:ascii="Times New Roman" w:hAnsi="Times New Roman" w:cs="Times New Roman"/>
          <w:sz w:val="28"/>
          <w:szCs w:val="28"/>
        </w:rPr>
        <w:t xml:space="preserve">поставлены в </w:t>
      </w:r>
      <w:r w:rsidR="00893619">
        <w:rPr>
          <w:rFonts w:ascii="Times New Roman" w:hAnsi="Times New Roman" w:cs="Times New Roman"/>
          <w:sz w:val="28"/>
          <w:szCs w:val="28"/>
        </w:rPr>
        <w:t xml:space="preserve">стратегических и аналитических документах, например в </w:t>
      </w:r>
      <w:r w:rsidR="001B187C">
        <w:rPr>
          <w:rFonts w:ascii="Times New Roman" w:hAnsi="Times New Roman" w:cs="Times New Roman"/>
          <w:sz w:val="28"/>
          <w:szCs w:val="28"/>
        </w:rPr>
        <w:t>С</w:t>
      </w:r>
      <w:r w:rsidRPr="00383F47">
        <w:rPr>
          <w:rFonts w:ascii="Times New Roman" w:hAnsi="Times New Roman" w:cs="Times New Roman"/>
          <w:sz w:val="28"/>
          <w:szCs w:val="28"/>
        </w:rPr>
        <w:t xml:space="preserve">тратегическом, </w:t>
      </w:r>
      <w:r w:rsidR="001B187C">
        <w:rPr>
          <w:rFonts w:ascii="Times New Roman" w:hAnsi="Times New Roman" w:cs="Times New Roman"/>
          <w:sz w:val="28"/>
          <w:szCs w:val="28"/>
        </w:rPr>
        <w:t>Г</w:t>
      </w:r>
      <w:r w:rsidRPr="00383F47">
        <w:rPr>
          <w:rFonts w:ascii="Times New Roman" w:hAnsi="Times New Roman" w:cs="Times New Roman"/>
          <w:sz w:val="28"/>
          <w:szCs w:val="28"/>
        </w:rPr>
        <w:t>енеральн</w:t>
      </w:r>
      <w:r w:rsidR="001B187C">
        <w:rPr>
          <w:rFonts w:ascii="Times New Roman" w:hAnsi="Times New Roman" w:cs="Times New Roman"/>
          <w:sz w:val="28"/>
          <w:szCs w:val="28"/>
        </w:rPr>
        <w:t>ом</w:t>
      </w:r>
      <w:r w:rsidRPr="00383F47">
        <w:rPr>
          <w:rFonts w:ascii="Times New Roman" w:hAnsi="Times New Roman" w:cs="Times New Roman"/>
          <w:sz w:val="28"/>
          <w:szCs w:val="28"/>
        </w:rPr>
        <w:t xml:space="preserve"> планах, других документах долгосрочного планирования) методами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383F47">
        <w:rPr>
          <w:rFonts w:ascii="Times New Roman" w:hAnsi="Times New Roman" w:cs="Times New Roman"/>
          <w:sz w:val="28"/>
          <w:szCs w:val="28"/>
        </w:rPr>
        <w:t>технологий будущего</w:t>
      </w:r>
      <w:proofErr w:type="gramStart"/>
      <w:r w:rsidRPr="00383F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7A18">
        <w:rPr>
          <w:rFonts w:ascii="Times New Roman" w:hAnsi="Times New Roman" w:cs="Times New Roman"/>
          <w:sz w:val="28"/>
          <w:szCs w:val="28"/>
        </w:rPr>
        <w:t xml:space="preserve"> Вторым источником кейсов является местный бизнес, транслирующий свои реальные потребности и позволяющий детям возможность решать настоящие значимые задачи.</w:t>
      </w:r>
    </w:p>
    <w:p w:rsidR="00AF6C38" w:rsidRDefault="00AF6C38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авторы проектов уже смогут попасть в поле зрения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67A18">
        <w:rPr>
          <w:rFonts w:ascii="Times New Roman" w:hAnsi="Times New Roman" w:cs="Times New Roman"/>
          <w:sz w:val="28"/>
          <w:szCs w:val="28"/>
        </w:rPr>
        <w:t>, которые будут курировать их проекты</w:t>
      </w:r>
      <w:r>
        <w:rPr>
          <w:rFonts w:ascii="Times New Roman" w:hAnsi="Times New Roman" w:cs="Times New Roman"/>
          <w:sz w:val="28"/>
          <w:szCs w:val="28"/>
        </w:rPr>
        <w:t>. Это позволит заранее и адресно начать работу с ними (информационная, организационная поддержка, включение в студенческую жизнь), что практически гарантирует их поступление в те учебные заведения, которые будут с ними работать.</w:t>
      </w:r>
    </w:p>
    <w:p w:rsidR="0003616D" w:rsidRPr="00383F47" w:rsidRDefault="0003616D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9C4" w:rsidRDefault="00F379C4" w:rsidP="00F379C4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Результаты"/>
      <w:r w:rsidRPr="00702B94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C4" w:rsidRPr="00383F47" w:rsidRDefault="00F379C4" w:rsidP="00F379C4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Предполагается н</w:t>
      </w:r>
      <w:r w:rsidRPr="00383F47">
        <w:rPr>
          <w:rFonts w:ascii="Times New Roman" w:hAnsi="Times New Roman" w:cs="Times New Roman"/>
          <w:sz w:val="28"/>
          <w:szCs w:val="28"/>
        </w:rPr>
        <w:t xml:space="preserve">а выходе ежегодно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Pr="00383F47">
        <w:rPr>
          <w:rFonts w:ascii="Times New Roman" w:hAnsi="Times New Roman" w:cs="Times New Roman"/>
          <w:sz w:val="28"/>
          <w:szCs w:val="28"/>
        </w:rPr>
        <w:t xml:space="preserve"> многоуровнев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83F4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3F47">
        <w:rPr>
          <w:rFonts w:ascii="Times New Roman" w:hAnsi="Times New Roman" w:cs="Times New Roman"/>
          <w:sz w:val="28"/>
          <w:szCs w:val="28"/>
        </w:rPr>
        <w:t xml:space="preserve"> из участников:</w:t>
      </w:r>
    </w:p>
    <w:p w:rsidR="00F379C4" w:rsidRPr="00383F47" w:rsidRDefault="00F379C4" w:rsidP="00F379C4">
      <w:pPr>
        <w:pStyle w:val="normal"/>
        <w:numPr>
          <w:ilvl w:val="0"/>
          <w:numId w:val="6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b/>
          <w:sz w:val="28"/>
          <w:szCs w:val="28"/>
        </w:rPr>
        <w:t>Не заинтересовавшихся предлагаемыми направлениями, но получивших представление о них</w:t>
      </w:r>
      <w:r w:rsidRPr="00383F47">
        <w:rPr>
          <w:rFonts w:ascii="Times New Roman" w:hAnsi="Times New Roman" w:cs="Times New Roman"/>
          <w:sz w:val="28"/>
          <w:szCs w:val="28"/>
        </w:rPr>
        <w:t>. Будут принимать участие в иных мероприятиях системы профориентации учащихся.</w:t>
      </w:r>
    </w:p>
    <w:p w:rsidR="00F379C4" w:rsidRPr="00383F47" w:rsidRDefault="00F379C4" w:rsidP="00F379C4">
      <w:pPr>
        <w:pStyle w:val="normal"/>
        <w:numPr>
          <w:ilvl w:val="0"/>
          <w:numId w:val="6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b/>
          <w:sz w:val="28"/>
          <w:szCs w:val="28"/>
        </w:rPr>
        <w:t>Заинтересовавшихся, но не готовых сразу погрузиться в соответствующую деятельность</w:t>
      </w:r>
      <w:r w:rsidRPr="00383F47">
        <w:rPr>
          <w:rFonts w:ascii="Times New Roman" w:hAnsi="Times New Roman" w:cs="Times New Roman"/>
          <w:sz w:val="28"/>
          <w:szCs w:val="28"/>
        </w:rPr>
        <w:t xml:space="preserve">. Будут принимать участие в иных мероприятиях системы профориентации учащихся, но вероятность </w:t>
      </w:r>
      <w:r>
        <w:rPr>
          <w:rFonts w:ascii="Times New Roman" w:hAnsi="Times New Roman" w:cs="Times New Roman"/>
          <w:sz w:val="28"/>
          <w:szCs w:val="28"/>
        </w:rPr>
        <w:t>поступления на образовательные программы по профессиям,</w:t>
      </w:r>
      <w:r w:rsidRPr="00383F47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3F47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F47">
        <w:rPr>
          <w:rFonts w:ascii="Times New Roman" w:hAnsi="Times New Roman" w:cs="Times New Roman"/>
          <w:sz w:val="28"/>
          <w:szCs w:val="28"/>
        </w:rPr>
        <w:t xml:space="preserve"> существенно повышается.</w:t>
      </w:r>
    </w:p>
    <w:p w:rsidR="00F379C4" w:rsidRPr="00383F47" w:rsidRDefault="00F379C4" w:rsidP="00F379C4">
      <w:pPr>
        <w:pStyle w:val="normal"/>
        <w:numPr>
          <w:ilvl w:val="0"/>
          <w:numId w:val="6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47">
        <w:rPr>
          <w:rFonts w:ascii="Times New Roman" w:hAnsi="Times New Roman" w:cs="Times New Roman"/>
          <w:b/>
          <w:sz w:val="28"/>
          <w:szCs w:val="28"/>
        </w:rPr>
        <w:t>Заинтересовавшихся</w:t>
      </w:r>
      <w:proofErr w:type="gramEnd"/>
      <w:r w:rsidRPr="00383F47">
        <w:rPr>
          <w:rFonts w:ascii="Times New Roman" w:hAnsi="Times New Roman" w:cs="Times New Roman"/>
          <w:b/>
          <w:sz w:val="28"/>
          <w:szCs w:val="28"/>
        </w:rPr>
        <w:t xml:space="preserve">, разработавших проект методами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3F47">
        <w:rPr>
          <w:rFonts w:ascii="Times New Roman" w:hAnsi="Times New Roman" w:cs="Times New Roman"/>
          <w:b/>
          <w:sz w:val="28"/>
          <w:szCs w:val="28"/>
        </w:rPr>
        <w:t>индустри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83F47">
        <w:rPr>
          <w:rFonts w:ascii="Times New Roman" w:hAnsi="Times New Roman" w:cs="Times New Roman"/>
          <w:b/>
          <w:sz w:val="28"/>
          <w:szCs w:val="28"/>
        </w:rPr>
        <w:t xml:space="preserve"> будущего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83F47">
        <w:rPr>
          <w:rFonts w:ascii="Times New Roman" w:hAnsi="Times New Roman" w:cs="Times New Roman"/>
          <w:sz w:val="28"/>
          <w:szCs w:val="28"/>
        </w:rPr>
        <w:t xml:space="preserve">. С высокой долей вероятности будут поступать на </w:t>
      </w:r>
      <w:r w:rsidRPr="005D7969">
        <w:rPr>
          <w:rFonts w:ascii="Times New Roman" w:hAnsi="Times New Roman" w:cs="Times New Roman"/>
          <w:sz w:val="28"/>
          <w:szCs w:val="28"/>
        </w:rPr>
        <w:t>образовательные программы по профессиям</w:t>
      </w:r>
      <w:r w:rsidRPr="00383F47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3F47">
        <w:rPr>
          <w:rFonts w:ascii="Times New Roman" w:hAnsi="Times New Roman" w:cs="Times New Roman"/>
          <w:sz w:val="28"/>
          <w:szCs w:val="28"/>
        </w:rPr>
        <w:t xml:space="preserve"> с выбранным направлением проекта. Все данные участники будут взаимодействовать с заинтересованными в них учреждениями профессионального образования, что значительно снизит вероятность </w:t>
      </w:r>
      <w:r>
        <w:rPr>
          <w:rFonts w:ascii="Times New Roman" w:hAnsi="Times New Roman" w:cs="Times New Roman"/>
          <w:sz w:val="28"/>
          <w:szCs w:val="28"/>
        </w:rPr>
        <w:t xml:space="preserve">перехода </w:t>
      </w:r>
      <w:r w:rsidRPr="00383F4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 другое учебное заведение города или </w:t>
      </w:r>
      <w:r w:rsidRPr="00383F47">
        <w:rPr>
          <w:rFonts w:ascii="Times New Roman" w:hAnsi="Times New Roman" w:cs="Times New Roman"/>
          <w:sz w:val="28"/>
          <w:szCs w:val="28"/>
        </w:rPr>
        <w:t>переезда для обучения в другом городе/регионе.</w:t>
      </w:r>
    </w:p>
    <w:p w:rsidR="00F379C4" w:rsidRPr="00383F47" w:rsidRDefault="00F379C4" w:rsidP="00F379C4">
      <w:pPr>
        <w:pStyle w:val="normal"/>
        <w:numPr>
          <w:ilvl w:val="0"/>
          <w:numId w:val="6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b/>
          <w:sz w:val="28"/>
          <w:szCs w:val="28"/>
        </w:rPr>
        <w:t xml:space="preserve">Заинтересовавшихся, разработавших проект и достигших значимых результатов 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3F47">
        <w:rPr>
          <w:rFonts w:ascii="Times New Roman" w:hAnsi="Times New Roman" w:cs="Times New Roman"/>
          <w:b/>
          <w:sz w:val="28"/>
          <w:szCs w:val="28"/>
        </w:rPr>
        <w:t>погружении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83F47">
        <w:rPr>
          <w:rFonts w:ascii="Times New Roman" w:hAnsi="Times New Roman" w:cs="Times New Roman"/>
          <w:b/>
          <w:sz w:val="28"/>
          <w:szCs w:val="28"/>
        </w:rPr>
        <w:t xml:space="preserve"> в соответствующую индустрию</w:t>
      </w:r>
      <w:r w:rsidRPr="00383F47">
        <w:rPr>
          <w:rFonts w:ascii="Times New Roman" w:hAnsi="Times New Roman" w:cs="Times New Roman"/>
          <w:sz w:val="28"/>
          <w:szCs w:val="28"/>
        </w:rPr>
        <w:t xml:space="preserve">. Все данные участники могут попасть </w:t>
      </w:r>
      <w:r>
        <w:rPr>
          <w:rFonts w:ascii="Times New Roman" w:hAnsi="Times New Roman" w:cs="Times New Roman"/>
          <w:sz w:val="28"/>
          <w:szCs w:val="28"/>
        </w:rPr>
        <w:t xml:space="preserve">также и </w:t>
      </w:r>
      <w:r w:rsidRPr="00383F47">
        <w:rPr>
          <w:rFonts w:ascii="Times New Roman" w:hAnsi="Times New Roman" w:cs="Times New Roman"/>
          <w:sz w:val="28"/>
          <w:szCs w:val="28"/>
        </w:rPr>
        <w:t>в поле зрения будущих работодателей. Из известных вариантов поддержки будущим работодателем (в том числе иностранным) перспективных учащихся:</w:t>
      </w:r>
    </w:p>
    <w:p w:rsidR="00F379C4" w:rsidRPr="00383F47" w:rsidRDefault="00F379C4" w:rsidP="00F379C4">
      <w:pPr>
        <w:pStyle w:val="normal"/>
        <w:numPr>
          <w:ilvl w:val="1"/>
          <w:numId w:val="6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>Целевое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F47">
        <w:rPr>
          <w:rFonts w:ascii="Times New Roman" w:hAnsi="Times New Roman" w:cs="Times New Roman"/>
          <w:sz w:val="28"/>
          <w:szCs w:val="28"/>
        </w:rPr>
        <w:t xml:space="preserve">обучение, именные стипендии и иные формы </w:t>
      </w:r>
      <w:r w:rsidRPr="00383F47">
        <w:rPr>
          <w:rFonts w:ascii="Times New Roman" w:hAnsi="Times New Roman" w:cs="Times New Roman"/>
          <w:b/>
          <w:sz w:val="28"/>
          <w:szCs w:val="28"/>
        </w:rPr>
        <w:t xml:space="preserve">материальной </w:t>
      </w:r>
      <w:r w:rsidRPr="00383F47">
        <w:rPr>
          <w:rFonts w:ascii="Times New Roman" w:hAnsi="Times New Roman" w:cs="Times New Roman"/>
          <w:sz w:val="28"/>
          <w:szCs w:val="28"/>
        </w:rPr>
        <w:t>поддержки;</w:t>
      </w:r>
    </w:p>
    <w:p w:rsidR="00F379C4" w:rsidRPr="00383F47" w:rsidRDefault="00F379C4" w:rsidP="00F379C4">
      <w:pPr>
        <w:pStyle w:val="normal"/>
        <w:numPr>
          <w:ilvl w:val="1"/>
          <w:numId w:val="6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F47">
        <w:rPr>
          <w:rFonts w:ascii="Times New Roman" w:hAnsi="Times New Roman" w:cs="Times New Roman"/>
          <w:sz w:val="28"/>
          <w:szCs w:val="28"/>
        </w:rPr>
        <w:t xml:space="preserve">на крупных соревнованиях и конкурсах, в том числе международных и иные формы </w:t>
      </w:r>
      <w:r w:rsidRPr="00383F47">
        <w:rPr>
          <w:rFonts w:ascii="Times New Roman" w:hAnsi="Times New Roman" w:cs="Times New Roman"/>
          <w:b/>
          <w:sz w:val="28"/>
          <w:szCs w:val="28"/>
        </w:rPr>
        <w:t xml:space="preserve">организационной </w:t>
      </w:r>
      <w:r w:rsidRPr="00383F47">
        <w:rPr>
          <w:rFonts w:ascii="Times New Roman" w:hAnsi="Times New Roman" w:cs="Times New Roman"/>
          <w:sz w:val="28"/>
          <w:szCs w:val="28"/>
        </w:rPr>
        <w:t>поддержки;</w:t>
      </w:r>
    </w:p>
    <w:p w:rsidR="00F379C4" w:rsidRDefault="00F379C4" w:rsidP="00F379C4">
      <w:pPr>
        <w:pStyle w:val="normal"/>
        <w:numPr>
          <w:ilvl w:val="1"/>
          <w:numId w:val="6"/>
        </w:num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F47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F47">
        <w:rPr>
          <w:rFonts w:ascii="Times New Roman" w:hAnsi="Times New Roman" w:cs="Times New Roman"/>
          <w:sz w:val="28"/>
          <w:szCs w:val="28"/>
        </w:rPr>
        <w:t xml:space="preserve">в соответствующие круги общения, субкультуры и иные формы </w:t>
      </w:r>
      <w:r w:rsidRPr="00383F47">
        <w:rPr>
          <w:rFonts w:ascii="Times New Roman" w:hAnsi="Times New Roman" w:cs="Times New Roman"/>
          <w:b/>
          <w:sz w:val="28"/>
          <w:szCs w:val="28"/>
        </w:rPr>
        <w:t xml:space="preserve">морального </w:t>
      </w:r>
      <w:r w:rsidRPr="00383F47">
        <w:rPr>
          <w:rFonts w:ascii="Times New Roman" w:hAnsi="Times New Roman" w:cs="Times New Roman"/>
          <w:sz w:val="28"/>
          <w:szCs w:val="28"/>
        </w:rPr>
        <w:t>поощрения.</w:t>
      </w:r>
    </w:p>
    <w:p w:rsidR="00893AC2" w:rsidRDefault="00893AC2" w:rsidP="00893AC2">
      <w:pPr>
        <w:pStyle w:val="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AC2" w:rsidRDefault="00893AC2" w:rsidP="00893AC2">
      <w:pPr>
        <w:pStyle w:val="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AC2" w:rsidRPr="00383F47" w:rsidRDefault="00893AC2" w:rsidP="00893AC2">
      <w:pPr>
        <w:pStyle w:val="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3CA" w:rsidRPr="00383F47" w:rsidRDefault="001833CA" w:rsidP="003A794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833CA" w:rsidRPr="00383F47" w:rsidSect="001A0B56">
      <w:pgSz w:w="11909" w:h="16834"/>
      <w:pgMar w:top="993" w:right="1277" w:bottom="993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DB1"/>
    <w:multiLevelType w:val="multilevel"/>
    <w:tmpl w:val="834A10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4E968CA"/>
    <w:multiLevelType w:val="multilevel"/>
    <w:tmpl w:val="C83096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F315ECA"/>
    <w:multiLevelType w:val="multilevel"/>
    <w:tmpl w:val="5D48F9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212D68F6"/>
    <w:multiLevelType w:val="multilevel"/>
    <w:tmpl w:val="047EB9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BCD7880"/>
    <w:multiLevelType w:val="multilevel"/>
    <w:tmpl w:val="42FE61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583A7A7C"/>
    <w:multiLevelType w:val="multilevel"/>
    <w:tmpl w:val="834A10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584C1125"/>
    <w:multiLevelType w:val="multilevel"/>
    <w:tmpl w:val="ED8A72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5D361DE9"/>
    <w:multiLevelType w:val="multilevel"/>
    <w:tmpl w:val="64FA48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6CD15D20"/>
    <w:multiLevelType w:val="multilevel"/>
    <w:tmpl w:val="834A10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767E2231"/>
    <w:multiLevelType w:val="multilevel"/>
    <w:tmpl w:val="B70832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03616D"/>
    <w:rsid w:val="00013AA5"/>
    <w:rsid w:val="00022808"/>
    <w:rsid w:val="0003616D"/>
    <w:rsid w:val="00044E5E"/>
    <w:rsid w:val="00055FB4"/>
    <w:rsid w:val="00094D06"/>
    <w:rsid w:val="000E3B5A"/>
    <w:rsid w:val="00167A18"/>
    <w:rsid w:val="001833CA"/>
    <w:rsid w:val="001A0B56"/>
    <w:rsid w:val="001B187C"/>
    <w:rsid w:val="001D0FAB"/>
    <w:rsid w:val="001E7838"/>
    <w:rsid w:val="001F1E02"/>
    <w:rsid w:val="00211DF4"/>
    <w:rsid w:val="00224C84"/>
    <w:rsid w:val="0023284D"/>
    <w:rsid w:val="00265226"/>
    <w:rsid w:val="002A1C59"/>
    <w:rsid w:val="002D14E5"/>
    <w:rsid w:val="00307B49"/>
    <w:rsid w:val="00361A05"/>
    <w:rsid w:val="00372666"/>
    <w:rsid w:val="00383F47"/>
    <w:rsid w:val="003A0A37"/>
    <w:rsid w:val="003A4235"/>
    <w:rsid w:val="003A794E"/>
    <w:rsid w:val="003B37EE"/>
    <w:rsid w:val="003E014A"/>
    <w:rsid w:val="00420185"/>
    <w:rsid w:val="00421BA1"/>
    <w:rsid w:val="004427A1"/>
    <w:rsid w:val="004A1A3C"/>
    <w:rsid w:val="004B1D01"/>
    <w:rsid w:val="004D396D"/>
    <w:rsid w:val="004E3503"/>
    <w:rsid w:val="00505EA4"/>
    <w:rsid w:val="00566A7F"/>
    <w:rsid w:val="005D1BF3"/>
    <w:rsid w:val="005D7969"/>
    <w:rsid w:val="00632D8D"/>
    <w:rsid w:val="00666B30"/>
    <w:rsid w:val="006A14B3"/>
    <w:rsid w:val="006A2DEB"/>
    <w:rsid w:val="00702B94"/>
    <w:rsid w:val="00707430"/>
    <w:rsid w:val="00714054"/>
    <w:rsid w:val="00785485"/>
    <w:rsid w:val="00796BF3"/>
    <w:rsid w:val="00797A08"/>
    <w:rsid w:val="007A02F9"/>
    <w:rsid w:val="008264F3"/>
    <w:rsid w:val="00865B19"/>
    <w:rsid w:val="00882EAF"/>
    <w:rsid w:val="00893619"/>
    <w:rsid w:val="00893AC2"/>
    <w:rsid w:val="008A4F6C"/>
    <w:rsid w:val="008C2685"/>
    <w:rsid w:val="008C4CBD"/>
    <w:rsid w:val="008C5EB3"/>
    <w:rsid w:val="008E7936"/>
    <w:rsid w:val="00901E10"/>
    <w:rsid w:val="00921274"/>
    <w:rsid w:val="00934434"/>
    <w:rsid w:val="00952B5A"/>
    <w:rsid w:val="00993E15"/>
    <w:rsid w:val="00A21BF5"/>
    <w:rsid w:val="00A44986"/>
    <w:rsid w:val="00A5125A"/>
    <w:rsid w:val="00A64A9E"/>
    <w:rsid w:val="00AD2AC0"/>
    <w:rsid w:val="00AF5C06"/>
    <w:rsid w:val="00AF6C38"/>
    <w:rsid w:val="00B00CD2"/>
    <w:rsid w:val="00B50DE3"/>
    <w:rsid w:val="00B739CB"/>
    <w:rsid w:val="00B74B94"/>
    <w:rsid w:val="00BE7333"/>
    <w:rsid w:val="00C15FD7"/>
    <w:rsid w:val="00C87631"/>
    <w:rsid w:val="00C923E6"/>
    <w:rsid w:val="00CB5E62"/>
    <w:rsid w:val="00CD51ED"/>
    <w:rsid w:val="00CE2138"/>
    <w:rsid w:val="00D13E8F"/>
    <w:rsid w:val="00D33BF9"/>
    <w:rsid w:val="00DD70C3"/>
    <w:rsid w:val="00E05673"/>
    <w:rsid w:val="00E10329"/>
    <w:rsid w:val="00E25295"/>
    <w:rsid w:val="00E46C1F"/>
    <w:rsid w:val="00E4799B"/>
    <w:rsid w:val="00E70EB9"/>
    <w:rsid w:val="00E97612"/>
    <w:rsid w:val="00EB3E91"/>
    <w:rsid w:val="00F379C4"/>
    <w:rsid w:val="00F97ADD"/>
    <w:rsid w:val="00FB328E"/>
    <w:rsid w:val="00FC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1F"/>
  </w:style>
  <w:style w:type="paragraph" w:styleId="1">
    <w:name w:val="heading 1"/>
    <w:basedOn w:val="normal"/>
    <w:next w:val="normal"/>
    <w:rsid w:val="0003616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3616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3616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3616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3616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03616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616D"/>
  </w:style>
  <w:style w:type="table" w:customStyle="1" w:styleId="TableNormal">
    <w:name w:val="Table Normal"/>
    <w:rsid w:val="000361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3616D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03616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0">
    <w:name w:val="2"/>
    <w:basedOn w:val="TableNormal"/>
    <w:rsid w:val="0003616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rsid w:val="0003616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E1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E103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5B1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6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F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0D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-valley.cik63.ru/" TargetMode="External"/><Relationship Id="rId13" Type="http://schemas.openxmlformats.org/officeDocument/2006/relationships/hyperlink" Target="http://z-valley.cik63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tr-tlt.ru/" TargetMode="External"/><Relationship Id="rId12" Type="http://schemas.openxmlformats.org/officeDocument/2006/relationships/hyperlink" Target="https://leader-id.ru/event/186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nano.com/about/press-centre/news/20140701-fiop-v-tolyatti-otkrylas-4ya-letnyaya-shkola-nanograd-20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vzletsama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rtuptour.ru/" TargetMode="External"/><Relationship Id="rId10" Type="http://schemas.openxmlformats.org/officeDocument/2006/relationships/hyperlink" Target="http://atlas10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tsu.ru/" TargetMode="External"/><Relationship Id="rId14" Type="http://schemas.openxmlformats.org/officeDocument/2006/relationships/hyperlink" Target="http://www.ctr-tlt.ru/students-and-parents/career-fairs-spring-201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282CD-EA7C-4175-BB2F-30D642CA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Дело будущего</vt:lpstr>
    </vt:vector>
  </TitlesOfParts>
  <Company>Мэрия городского округа Тольятти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Дело будущего</dc:title>
  <dc:subject>профориентация школьников на профессии будущего</dc:subject>
  <dc:creator>Петров Иван</dc:creator>
  <cp:keywords>Атлас новых профессий, перспективные технологии, профориентация на будущее</cp:keywords>
  <dc:description>ivan.petrov.tlt@gmail.com</dc:description>
  <cp:lastModifiedBy>XTreme.ws</cp:lastModifiedBy>
  <cp:revision>9</cp:revision>
  <cp:lastPrinted>2016-02-11T10:31:00Z</cp:lastPrinted>
  <dcterms:created xsi:type="dcterms:W3CDTF">2017-02-13T15:30:00Z</dcterms:created>
  <dcterms:modified xsi:type="dcterms:W3CDTF">2017-02-16T17:26:00Z</dcterms:modified>
  <cp:category>образование</cp:category>
</cp:coreProperties>
</file>